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3B0" w:rsidRPr="007E7129" w:rsidRDefault="00DF53B0" w:rsidP="00DF53B0">
      <w:pPr>
        <w:contextualSpacing/>
        <w:jc w:val="center"/>
        <w:rPr>
          <w:rFonts w:ascii="Arial" w:hAnsi="Arial" w:cs="Arial"/>
          <w:b/>
          <w:sz w:val="24"/>
          <w:szCs w:val="24"/>
        </w:rPr>
      </w:pPr>
      <w:bookmarkStart w:id="0" w:name="_GoBack"/>
      <w:bookmarkEnd w:id="0"/>
      <w:r w:rsidRPr="007E7129">
        <w:rPr>
          <w:rFonts w:ascii="Arial" w:hAnsi="Arial" w:cs="Arial"/>
          <w:b/>
          <w:sz w:val="24"/>
          <w:szCs w:val="24"/>
        </w:rPr>
        <w:t>GUIDELINES FOR COMPLETING BUDGETS</w:t>
      </w:r>
    </w:p>
    <w:p w:rsidR="00DF53B0" w:rsidRPr="007E7129" w:rsidRDefault="00DF53B0" w:rsidP="00DF53B0">
      <w:pPr>
        <w:contextualSpacing/>
        <w:jc w:val="center"/>
        <w:rPr>
          <w:rFonts w:ascii="Arial" w:hAnsi="Arial" w:cs="Arial"/>
          <w:b/>
          <w:sz w:val="24"/>
          <w:szCs w:val="24"/>
        </w:rPr>
      </w:pPr>
      <w:r w:rsidRPr="007E7129">
        <w:rPr>
          <w:rFonts w:ascii="Arial" w:hAnsi="Arial" w:cs="Arial"/>
          <w:b/>
          <w:sz w:val="24"/>
          <w:szCs w:val="24"/>
        </w:rPr>
        <w:t>NATURALLY OCCURRING RETIREMENT COMMUNITY (NORC) PROGRAM</w:t>
      </w:r>
    </w:p>
    <w:p w:rsidR="00DF53B0" w:rsidRPr="007E7129" w:rsidRDefault="00DF53B0" w:rsidP="00DF53B0">
      <w:pPr>
        <w:contextualSpacing/>
        <w:jc w:val="center"/>
        <w:rPr>
          <w:rFonts w:ascii="Arial" w:hAnsi="Arial" w:cs="Arial"/>
          <w:b/>
          <w:sz w:val="24"/>
          <w:szCs w:val="24"/>
        </w:rPr>
      </w:pPr>
    </w:p>
    <w:p w:rsidR="00DF53B0" w:rsidRDefault="00DF53B0" w:rsidP="00DF53B0">
      <w:pPr>
        <w:contextualSpacing/>
        <w:rPr>
          <w:rFonts w:ascii="Arial" w:hAnsi="Arial" w:cs="Arial"/>
          <w:sz w:val="24"/>
          <w:szCs w:val="24"/>
        </w:rPr>
      </w:pPr>
      <w:r w:rsidRPr="007E7129">
        <w:rPr>
          <w:rFonts w:ascii="Arial" w:hAnsi="Arial" w:cs="Arial"/>
          <w:sz w:val="24"/>
          <w:szCs w:val="24"/>
        </w:rPr>
        <w:t xml:space="preserve">Funds are to be used solely for the award designated purposes.  Budgeted expenditures must be allowable, reasonable and necessary to meet program objectives and must be incurred in the period to which they are applied.  Unexpended funds do not carry over from one program period to the subsequent period. </w:t>
      </w:r>
    </w:p>
    <w:p w:rsidR="00DF53B0" w:rsidRPr="007E7129" w:rsidRDefault="00DF53B0" w:rsidP="00DF53B0">
      <w:pPr>
        <w:contextualSpacing/>
        <w:rPr>
          <w:rFonts w:ascii="Arial" w:hAnsi="Arial" w:cs="Arial"/>
          <w:sz w:val="24"/>
          <w:szCs w:val="24"/>
        </w:rPr>
      </w:pPr>
    </w:p>
    <w:p w:rsidR="00DF53B0" w:rsidRDefault="00DF53B0" w:rsidP="00DF53B0">
      <w:pPr>
        <w:contextualSpacing/>
        <w:rPr>
          <w:rFonts w:ascii="Arial" w:hAnsi="Arial" w:cs="Arial"/>
          <w:sz w:val="24"/>
          <w:szCs w:val="24"/>
        </w:rPr>
      </w:pPr>
      <w:r w:rsidRPr="007E7129">
        <w:rPr>
          <w:rFonts w:ascii="Arial" w:hAnsi="Arial" w:cs="Arial"/>
          <w:sz w:val="24"/>
          <w:szCs w:val="24"/>
        </w:rPr>
        <w:t>Expenditures which overlap the program period, such as insurance, maintenance contracts, vehicle insurance, etc., must be prorated for the portion of the term that falls within the program period.</w:t>
      </w:r>
    </w:p>
    <w:p w:rsidR="00DF53B0" w:rsidRPr="007E7129" w:rsidRDefault="00DF53B0" w:rsidP="00DF53B0">
      <w:pPr>
        <w:contextualSpacing/>
        <w:rPr>
          <w:rFonts w:ascii="Arial" w:hAnsi="Arial" w:cs="Arial"/>
          <w:sz w:val="24"/>
          <w:szCs w:val="24"/>
        </w:rPr>
      </w:pPr>
    </w:p>
    <w:p w:rsidR="00DF53B0" w:rsidRPr="007E7129" w:rsidRDefault="00DF53B0" w:rsidP="00DF53B0">
      <w:pPr>
        <w:autoSpaceDE w:val="0"/>
        <w:autoSpaceDN w:val="0"/>
        <w:adjustRightInd w:val="0"/>
        <w:spacing w:after="0"/>
        <w:contextualSpacing/>
        <w:rPr>
          <w:rFonts w:ascii="Arial" w:hAnsi="Arial" w:cs="Arial"/>
          <w:sz w:val="24"/>
          <w:szCs w:val="24"/>
        </w:rPr>
      </w:pPr>
      <w:r w:rsidRPr="007E7129">
        <w:rPr>
          <w:rFonts w:ascii="Arial" w:hAnsi="Arial" w:cs="Arial"/>
          <w:sz w:val="24"/>
          <w:szCs w:val="24"/>
        </w:rPr>
        <w:t xml:space="preserve">Any expenditures which are not solely for the benefit of the NORC program must be prorated.  The method used to allocate costs must be reasonable and result in charges that are commensurate with the benefits derived by the NORC program. </w:t>
      </w:r>
    </w:p>
    <w:p w:rsidR="00DF53B0" w:rsidRPr="007E7129" w:rsidRDefault="00DF53B0" w:rsidP="00DF53B0">
      <w:pPr>
        <w:autoSpaceDE w:val="0"/>
        <w:autoSpaceDN w:val="0"/>
        <w:adjustRightInd w:val="0"/>
        <w:spacing w:after="0"/>
        <w:contextualSpacing/>
        <w:rPr>
          <w:rFonts w:ascii="Arial" w:hAnsi="Arial" w:cs="Arial"/>
          <w:sz w:val="24"/>
          <w:szCs w:val="24"/>
        </w:rPr>
      </w:pPr>
    </w:p>
    <w:p w:rsidR="00DF53B0" w:rsidRPr="007E7129" w:rsidRDefault="00DF53B0" w:rsidP="00DF53B0">
      <w:pPr>
        <w:contextualSpacing/>
        <w:rPr>
          <w:rFonts w:ascii="Arial" w:hAnsi="Arial" w:cs="Arial"/>
          <w:b/>
          <w:sz w:val="24"/>
          <w:szCs w:val="24"/>
        </w:rPr>
      </w:pPr>
      <w:r w:rsidRPr="007E7129">
        <w:rPr>
          <w:rFonts w:ascii="Arial" w:hAnsi="Arial" w:cs="Arial"/>
          <w:b/>
          <w:sz w:val="24"/>
          <w:szCs w:val="24"/>
        </w:rPr>
        <w:t>Allowable Costs:</w:t>
      </w:r>
    </w:p>
    <w:p w:rsidR="00DF53B0" w:rsidRPr="007E7129" w:rsidRDefault="00DF53B0" w:rsidP="00DF53B0">
      <w:pPr>
        <w:contextualSpacing/>
        <w:rPr>
          <w:rFonts w:ascii="Arial" w:hAnsi="Arial" w:cs="Arial"/>
          <w:sz w:val="24"/>
          <w:szCs w:val="24"/>
        </w:rPr>
      </w:pPr>
      <w:r w:rsidRPr="007E7129">
        <w:rPr>
          <w:rFonts w:ascii="Arial" w:hAnsi="Arial" w:cs="Arial"/>
          <w:sz w:val="24"/>
          <w:szCs w:val="24"/>
        </w:rPr>
        <w:t>Allowable reimbursement costs must meet the following criteria:</w:t>
      </w:r>
    </w:p>
    <w:p w:rsidR="00DF53B0" w:rsidRPr="007E7129" w:rsidRDefault="00DF53B0" w:rsidP="00DF53B0">
      <w:pPr>
        <w:pStyle w:val="ListParagraph"/>
        <w:numPr>
          <w:ilvl w:val="0"/>
          <w:numId w:val="1"/>
        </w:numPr>
        <w:rPr>
          <w:rFonts w:ascii="Arial" w:hAnsi="Arial" w:cs="Arial"/>
          <w:sz w:val="24"/>
          <w:szCs w:val="24"/>
        </w:rPr>
      </w:pPr>
      <w:r w:rsidRPr="007E7129">
        <w:rPr>
          <w:rFonts w:ascii="Arial" w:hAnsi="Arial" w:cs="Arial"/>
          <w:sz w:val="24"/>
          <w:szCs w:val="24"/>
        </w:rPr>
        <w:t>Be necessary and reasonable for proper, efficient operation of the NORC program</w:t>
      </w:r>
      <w:r>
        <w:rPr>
          <w:rFonts w:ascii="Arial" w:hAnsi="Arial" w:cs="Arial"/>
          <w:sz w:val="24"/>
          <w:szCs w:val="24"/>
        </w:rPr>
        <w:t>;</w:t>
      </w:r>
    </w:p>
    <w:p w:rsidR="00DF53B0" w:rsidRPr="007E7129" w:rsidRDefault="00DF53B0" w:rsidP="00DF53B0">
      <w:pPr>
        <w:pStyle w:val="ListParagraph"/>
        <w:numPr>
          <w:ilvl w:val="0"/>
          <w:numId w:val="1"/>
        </w:numPr>
        <w:rPr>
          <w:rFonts w:ascii="Arial" w:hAnsi="Arial" w:cs="Arial"/>
          <w:sz w:val="24"/>
          <w:szCs w:val="24"/>
        </w:rPr>
      </w:pPr>
      <w:r w:rsidRPr="007E7129">
        <w:rPr>
          <w:rFonts w:ascii="Arial" w:hAnsi="Arial" w:cs="Arial"/>
          <w:sz w:val="24"/>
          <w:szCs w:val="24"/>
        </w:rPr>
        <w:t>Be permissible under applicable state and/or federal laws and regulations</w:t>
      </w:r>
      <w:r>
        <w:rPr>
          <w:rFonts w:ascii="Arial" w:hAnsi="Arial" w:cs="Arial"/>
          <w:sz w:val="24"/>
          <w:szCs w:val="24"/>
        </w:rPr>
        <w:t>;</w:t>
      </w:r>
    </w:p>
    <w:p w:rsidR="00DF53B0" w:rsidRPr="007E7129" w:rsidRDefault="00DF53B0" w:rsidP="00DF53B0">
      <w:pPr>
        <w:pStyle w:val="ListParagraph"/>
        <w:numPr>
          <w:ilvl w:val="0"/>
          <w:numId w:val="1"/>
        </w:numPr>
        <w:rPr>
          <w:rFonts w:ascii="Arial" w:hAnsi="Arial" w:cs="Arial"/>
          <w:sz w:val="24"/>
          <w:szCs w:val="24"/>
        </w:rPr>
      </w:pPr>
      <w:r w:rsidRPr="007E7129">
        <w:rPr>
          <w:rFonts w:ascii="Arial" w:hAnsi="Arial" w:cs="Arial"/>
          <w:sz w:val="24"/>
          <w:szCs w:val="24"/>
        </w:rPr>
        <w:t>Conform to limitations or exclusions set forth in these guidelines, as well as laws or regulations or other limitations as to types, amounts or cost of items</w:t>
      </w:r>
      <w:r>
        <w:rPr>
          <w:rFonts w:ascii="Arial" w:hAnsi="Arial" w:cs="Arial"/>
          <w:sz w:val="24"/>
          <w:szCs w:val="24"/>
        </w:rPr>
        <w:t>;</w:t>
      </w:r>
    </w:p>
    <w:p w:rsidR="00DF53B0" w:rsidRPr="007E7129" w:rsidRDefault="00DF53B0" w:rsidP="00DF53B0">
      <w:pPr>
        <w:pStyle w:val="ListParagraph"/>
        <w:numPr>
          <w:ilvl w:val="0"/>
          <w:numId w:val="1"/>
        </w:numPr>
        <w:rPr>
          <w:rFonts w:ascii="Arial" w:hAnsi="Arial" w:cs="Arial"/>
          <w:sz w:val="24"/>
          <w:szCs w:val="24"/>
        </w:rPr>
      </w:pPr>
      <w:r w:rsidRPr="007E7129">
        <w:rPr>
          <w:rFonts w:ascii="Arial" w:hAnsi="Arial" w:cs="Arial"/>
          <w:sz w:val="24"/>
          <w:szCs w:val="24"/>
        </w:rPr>
        <w:t>Be the net amount after applying all applicable credits, such as purchase discounts and adjustments of overpayments</w:t>
      </w:r>
      <w:r>
        <w:rPr>
          <w:rFonts w:ascii="Arial" w:hAnsi="Arial" w:cs="Arial"/>
          <w:sz w:val="24"/>
          <w:szCs w:val="24"/>
        </w:rPr>
        <w:t>; and</w:t>
      </w:r>
    </w:p>
    <w:p w:rsidR="00DF53B0" w:rsidRPr="007E7129" w:rsidRDefault="00DF53B0" w:rsidP="00DF53B0">
      <w:pPr>
        <w:pStyle w:val="ListParagraph"/>
        <w:numPr>
          <w:ilvl w:val="0"/>
          <w:numId w:val="1"/>
        </w:numPr>
        <w:rPr>
          <w:rFonts w:ascii="Arial" w:hAnsi="Arial" w:cs="Arial"/>
          <w:sz w:val="24"/>
          <w:szCs w:val="24"/>
        </w:rPr>
      </w:pPr>
      <w:r w:rsidRPr="007E7129">
        <w:rPr>
          <w:rFonts w:ascii="Arial" w:hAnsi="Arial" w:cs="Arial"/>
          <w:sz w:val="24"/>
          <w:szCs w:val="24"/>
        </w:rPr>
        <w:t>Not be included as a cost in any other program or grant</w:t>
      </w:r>
      <w:r>
        <w:rPr>
          <w:rFonts w:ascii="Arial" w:hAnsi="Arial" w:cs="Arial"/>
          <w:sz w:val="24"/>
          <w:szCs w:val="24"/>
        </w:rPr>
        <w:t xml:space="preserve">. </w:t>
      </w:r>
    </w:p>
    <w:p w:rsidR="00DF53B0" w:rsidRPr="007E7129" w:rsidRDefault="00DF53B0" w:rsidP="00DF53B0">
      <w:pPr>
        <w:contextualSpacing/>
        <w:rPr>
          <w:rFonts w:ascii="Arial" w:hAnsi="Arial" w:cs="Arial"/>
          <w:b/>
          <w:sz w:val="24"/>
          <w:szCs w:val="24"/>
        </w:rPr>
      </w:pPr>
      <w:r w:rsidRPr="007E7129">
        <w:rPr>
          <w:rFonts w:ascii="Arial" w:hAnsi="Arial" w:cs="Arial"/>
          <w:b/>
          <w:sz w:val="24"/>
          <w:szCs w:val="24"/>
        </w:rPr>
        <w:t xml:space="preserve">Unallowable Costs: </w:t>
      </w:r>
    </w:p>
    <w:p w:rsidR="00DF53B0" w:rsidRPr="007E7129" w:rsidRDefault="00DF53B0" w:rsidP="00DF53B0">
      <w:pPr>
        <w:contextualSpacing/>
        <w:rPr>
          <w:rFonts w:ascii="Arial" w:hAnsi="Arial" w:cs="Arial"/>
          <w:sz w:val="24"/>
          <w:szCs w:val="24"/>
        </w:rPr>
      </w:pPr>
      <w:r w:rsidRPr="007E7129">
        <w:rPr>
          <w:rFonts w:ascii="Arial" w:hAnsi="Arial" w:cs="Arial"/>
          <w:sz w:val="24"/>
          <w:szCs w:val="24"/>
        </w:rPr>
        <w:t>In accordance with NYSOFA policies, certain costs cannot be charged to these grant funds.  Examples of non-reimbursable costs include:</w:t>
      </w:r>
    </w:p>
    <w:p w:rsidR="00DF53B0" w:rsidRPr="007E7129" w:rsidRDefault="00DF53B0" w:rsidP="00DF53B0">
      <w:pPr>
        <w:pStyle w:val="ListParagraph"/>
        <w:numPr>
          <w:ilvl w:val="0"/>
          <w:numId w:val="2"/>
        </w:numPr>
        <w:rPr>
          <w:rFonts w:ascii="Arial" w:hAnsi="Arial" w:cs="Arial"/>
          <w:sz w:val="24"/>
          <w:szCs w:val="24"/>
        </w:rPr>
      </w:pPr>
      <w:r w:rsidRPr="007E7129">
        <w:rPr>
          <w:rFonts w:ascii="Arial" w:hAnsi="Arial" w:cs="Arial"/>
          <w:sz w:val="24"/>
          <w:szCs w:val="24"/>
        </w:rPr>
        <w:t>Goods or services for personal use of employees, even if the cost is reported as taxable income to employees</w:t>
      </w:r>
      <w:r>
        <w:rPr>
          <w:rFonts w:ascii="Arial" w:hAnsi="Arial" w:cs="Arial"/>
          <w:sz w:val="24"/>
          <w:szCs w:val="24"/>
        </w:rPr>
        <w:t>;</w:t>
      </w:r>
    </w:p>
    <w:p w:rsidR="00DF53B0" w:rsidRPr="007E7129" w:rsidRDefault="00DF53B0" w:rsidP="00DF53B0">
      <w:pPr>
        <w:pStyle w:val="ListParagraph"/>
        <w:numPr>
          <w:ilvl w:val="0"/>
          <w:numId w:val="2"/>
        </w:numPr>
        <w:rPr>
          <w:rFonts w:ascii="Arial" w:hAnsi="Arial" w:cs="Arial"/>
          <w:sz w:val="24"/>
          <w:szCs w:val="24"/>
        </w:rPr>
      </w:pPr>
      <w:r w:rsidRPr="007E7129">
        <w:rPr>
          <w:rFonts w:ascii="Arial" w:hAnsi="Arial" w:cs="Arial"/>
          <w:sz w:val="24"/>
          <w:szCs w:val="24"/>
        </w:rPr>
        <w:t>Entertainment, including social activities and associated costs, except where specific costs have a programmatic purpose and are authorized in the approved budget (e.g., volunteer recognition and recruitment)</w:t>
      </w:r>
      <w:r>
        <w:rPr>
          <w:rFonts w:ascii="Arial" w:hAnsi="Arial" w:cs="Arial"/>
          <w:sz w:val="24"/>
          <w:szCs w:val="24"/>
        </w:rPr>
        <w:t>;</w:t>
      </w:r>
    </w:p>
    <w:p w:rsidR="00DF53B0" w:rsidRPr="007E7129" w:rsidRDefault="00DF53B0" w:rsidP="00DF53B0">
      <w:pPr>
        <w:pStyle w:val="ListParagraph"/>
        <w:numPr>
          <w:ilvl w:val="0"/>
          <w:numId w:val="2"/>
        </w:numPr>
        <w:rPr>
          <w:rFonts w:ascii="Arial" w:hAnsi="Arial" w:cs="Arial"/>
          <w:sz w:val="24"/>
          <w:szCs w:val="24"/>
        </w:rPr>
      </w:pPr>
      <w:r w:rsidRPr="007E7129">
        <w:rPr>
          <w:rFonts w:ascii="Arial" w:hAnsi="Arial" w:cs="Arial"/>
          <w:sz w:val="24"/>
          <w:szCs w:val="24"/>
        </w:rPr>
        <w:t>Gifts, except where specific costs have a programmatic purpose and are authorized in the approved budget (i.e., volunteer incentives/promotional items)</w:t>
      </w:r>
      <w:r>
        <w:rPr>
          <w:rFonts w:ascii="Arial" w:hAnsi="Arial" w:cs="Arial"/>
          <w:sz w:val="24"/>
          <w:szCs w:val="24"/>
        </w:rPr>
        <w:t>;</w:t>
      </w:r>
    </w:p>
    <w:p w:rsidR="00DF53B0" w:rsidRPr="007E7129" w:rsidRDefault="00DF53B0" w:rsidP="00DF53B0">
      <w:pPr>
        <w:pStyle w:val="ListParagraph"/>
        <w:numPr>
          <w:ilvl w:val="0"/>
          <w:numId w:val="2"/>
        </w:numPr>
        <w:rPr>
          <w:rFonts w:ascii="Arial" w:hAnsi="Arial" w:cs="Arial"/>
          <w:sz w:val="24"/>
          <w:szCs w:val="24"/>
        </w:rPr>
      </w:pPr>
      <w:r>
        <w:rPr>
          <w:rFonts w:ascii="Arial" w:hAnsi="Arial" w:cs="Arial"/>
          <w:sz w:val="24"/>
          <w:szCs w:val="24"/>
        </w:rPr>
        <w:t>Alcoholic beverages;</w:t>
      </w:r>
    </w:p>
    <w:p w:rsidR="00DF53B0" w:rsidRPr="007E7129" w:rsidRDefault="00DF53B0" w:rsidP="00DF53B0">
      <w:pPr>
        <w:pStyle w:val="ListParagraph"/>
        <w:numPr>
          <w:ilvl w:val="0"/>
          <w:numId w:val="2"/>
        </w:numPr>
        <w:rPr>
          <w:rFonts w:ascii="Arial" w:hAnsi="Arial" w:cs="Arial"/>
          <w:sz w:val="24"/>
          <w:szCs w:val="24"/>
        </w:rPr>
      </w:pPr>
      <w:r w:rsidRPr="007E7129">
        <w:rPr>
          <w:rFonts w:ascii="Arial" w:hAnsi="Arial" w:cs="Arial"/>
          <w:sz w:val="24"/>
          <w:szCs w:val="24"/>
        </w:rPr>
        <w:t>Out-of-state travel, unless NYSOFA has given prior written approval</w:t>
      </w:r>
      <w:r>
        <w:rPr>
          <w:rFonts w:ascii="Arial" w:hAnsi="Arial" w:cs="Arial"/>
          <w:sz w:val="24"/>
          <w:szCs w:val="24"/>
        </w:rPr>
        <w:t>;</w:t>
      </w:r>
    </w:p>
    <w:p w:rsidR="00DF53B0" w:rsidRPr="007E7129" w:rsidRDefault="00DF53B0" w:rsidP="00DF53B0">
      <w:pPr>
        <w:pStyle w:val="ListParagraph"/>
        <w:numPr>
          <w:ilvl w:val="0"/>
          <w:numId w:val="2"/>
        </w:numPr>
        <w:rPr>
          <w:rFonts w:ascii="Arial" w:hAnsi="Arial" w:cs="Arial"/>
          <w:sz w:val="24"/>
          <w:szCs w:val="24"/>
        </w:rPr>
      </w:pPr>
      <w:r w:rsidRPr="007E7129">
        <w:rPr>
          <w:rFonts w:ascii="Arial" w:hAnsi="Arial" w:cs="Arial"/>
          <w:sz w:val="24"/>
          <w:szCs w:val="24"/>
        </w:rPr>
        <w:t>Interest (including mortgage interest), late charges, fines and penalties (including bank charges for overdraws)</w:t>
      </w:r>
      <w:r>
        <w:rPr>
          <w:rFonts w:ascii="Arial" w:hAnsi="Arial" w:cs="Arial"/>
          <w:sz w:val="24"/>
          <w:szCs w:val="24"/>
        </w:rPr>
        <w:t>;</w:t>
      </w:r>
    </w:p>
    <w:p w:rsidR="00DF53B0" w:rsidRPr="007E7129" w:rsidRDefault="00DF53B0" w:rsidP="00DF53B0">
      <w:pPr>
        <w:pStyle w:val="ListParagraph"/>
        <w:numPr>
          <w:ilvl w:val="0"/>
          <w:numId w:val="2"/>
        </w:numPr>
        <w:rPr>
          <w:rFonts w:ascii="Arial" w:hAnsi="Arial" w:cs="Arial"/>
          <w:sz w:val="24"/>
          <w:szCs w:val="24"/>
        </w:rPr>
      </w:pPr>
      <w:r w:rsidRPr="007E7129">
        <w:rPr>
          <w:rFonts w:ascii="Arial" w:hAnsi="Arial" w:cs="Arial"/>
          <w:sz w:val="24"/>
          <w:szCs w:val="24"/>
        </w:rPr>
        <w:t>Bad debts, including losses arising from uncollectable accounts</w:t>
      </w:r>
      <w:r>
        <w:rPr>
          <w:rFonts w:ascii="Arial" w:hAnsi="Arial" w:cs="Arial"/>
          <w:sz w:val="24"/>
          <w:szCs w:val="24"/>
        </w:rPr>
        <w:t>;</w:t>
      </w:r>
    </w:p>
    <w:p w:rsidR="00DF53B0" w:rsidRPr="007E7129" w:rsidRDefault="00DF53B0" w:rsidP="00DF53B0">
      <w:pPr>
        <w:pStyle w:val="ListParagraph"/>
        <w:numPr>
          <w:ilvl w:val="0"/>
          <w:numId w:val="2"/>
        </w:numPr>
        <w:rPr>
          <w:rFonts w:ascii="Arial" w:hAnsi="Arial" w:cs="Arial"/>
          <w:sz w:val="24"/>
          <w:szCs w:val="24"/>
        </w:rPr>
      </w:pPr>
      <w:r w:rsidRPr="007E7129">
        <w:rPr>
          <w:rFonts w:ascii="Arial" w:hAnsi="Arial" w:cs="Arial"/>
          <w:sz w:val="24"/>
          <w:szCs w:val="24"/>
        </w:rPr>
        <w:lastRenderedPageBreak/>
        <w:t>Lobbying (activities with the potential to influence legislation or the election or defeat of any candidate for public office)</w:t>
      </w:r>
      <w:r>
        <w:rPr>
          <w:rFonts w:ascii="Arial" w:hAnsi="Arial" w:cs="Arial"/>
          <w:sz w:val="24"/>
          <w:szCs w:val="24"/>
        </w:rPr>
        <w:t>;</w:t>
      </w:r>
    </w:p>
    <w:p w:rsidR="00DF53B0" w:rsidRPr="007E7129" w:rsidRDefault="00DF53B0" w:rsidP="00DF53B0">
      <w:pPr>
        <w:pStyle w:val="ListParagraph"/>
        <w:numPr>
          <w:ilvl w:val="0"/>
          <w:numId w:val="2"/>
        </w:numPr>
        <w:rPr>
          <w:rFonts w:ascii="Arial" w:hAnsi="Arial" w:cs="Arial"/>
          <w:sz w:val="24"/>
          <w:szCs w:val="24"/>
        </w:rPr>
      </w:pPr>
      <w:r w:rsidRPr="007E7129">
        <w:rPr>
          <w:rFonts w:ascii="Arial" w:hAnsi="Arial" w:cs="Arial"/>
          <w:sz w:val="24"/>
          <w:szCs w:val="24"/>
        </w:rPr>
        <w:t>Fundraising, including financial campaigns, endowment drives and solicitation of gifts or bequests</w:t>
      </w:r>
      <w:r>
        <w:rPr>
          <w:rFonts w:ascii="Arial" w:hAnsi="Arial" w:cs="Arial"/>
          <w:sz w:val="24"/>
          <w:szCs w:val="24"/>
        </w:rPr>
        <w:t>;</w:t>
      </w:r>
    </w:p>
    <w:p w:rsidR="00DF53B0" w:rsidRPr="007E7129" w:rsidRDefault="00DF53B0" w:rsidP="00DF53B0">
      <w:pPr>
        <w:pStyle w:val="ListParagraph"/>
        <w:numPr>
          <w:ilvl w:val="0"/>
          <w:numId w:val="2"/>
        </w:numPr>
        <w:rPr>
          <w:rFonts w:ascii="Arial" w:hAnsi="Arial" w:cs="Arial"/>
          <w:sz w:val="24"/>
          <w:szCs w:val="24"/>
        </w:rPr>
      </w:pPr>
      <w:r w:rsidRPr="007E7129">
        <w:rPr>
          <w:rFonts w:ascii="Arial" w:hAnsi="Arial" w:cs="Arial"/>
          <w:sz w:val="24"/>
          <w:szCs w:val="24"/>
        </w:rPr>
        <w:t>Contributions and donations, including cash, property and services, to other not for profits</w:t>
      </w:r>
      <w:r>
        <w:rPr>
          <w:rFonts w:ascii="Arial" w:hAnsi="Arial" w:cs="Arial"/>
          <w:sz w:val="24"/>
          <w:szCs w:val="24"/>
        </w:rPr>
        <w:t>;</w:t>
      </w:r>
    </w:p>
    <w:p w:rsidR="00DF53B0" w:rsidRPr="007E7129" w:rsidRDefault="00DF53B0" w:rsidP="00DF53B0">
      <w:pPr>
        <w:pStyle w:val="ListParagraph"/>
        <w:numPr>
          <w:ilvl w:val="0"/>
          <w:numId w:val="2"/>
        </w:numPr>
        <w:rPr>
          <w:rFonts w:ascii="Arial" w:hAnsi="Arial" w:cs="Arial"/>
          <w:sz w:val="24"/>
          <w:szCs w:val="24"/>
        </w:rPr>
      </w:pPr>
      <w:r w:rsidRPr="007E7129">
        <w:rPr>
          <w:rFonts w:ascii="Arial" w:hAnsi="Arial" w:cs="Arial"/>
          <w:sz w:val="24"/>
          <w:szCs w:val="24"/>
        </w:rPr>
        <w:t>Rent, when the faci</w:t>
      </w:r>
      <w:r>
        <w:rPr>
          <w:rFonts w:ascii="Arial" w:hAnsi="Arial" w:cs="Arial"/>
          <w:sz w:val="24"/>
          <w:szCs w:val="24"/>
        </w:rPr>
        <w:t>lity is owned by the contractor; and</w:t>
      </w:r>
    </w:p>
    <w:p w:rsidR="00DF53B0" w:rsidRPr="007E7129" w:rsidRDefault="00DF53B0" w:rsidP="00DF53B0">
      <w:pPr>
        <w:pStyle w:val="ListParagraph"/>
        <w:numPr>
          <w:ilvl w:val="0"/>
          <w:numId w:val="2"/>
        </w:numPr>
        <w:rPr>
          <w:rFonts w:ascii="Arial" w:hAnsi="Arial" w:cs="Arial"/>
          <w:sz w:val="24"/>
          <w:szCs w:val="24"/>
        </w:rPr>
      </w:pPr>
      <w:r w:rsidRPr="007E7129">
        <w:rPr>
          <w:rFonts w:ascii="Arial" w:hAnsi="Arial" w:cs="Arial"/>
          <w:sz w:val="24"/>
          <w:szCs w:val="24"/>
        </w:rPr>
        <w:t>Sales tax, if your organization is exempt -</w:t>
      </w:r>
      <w:r>
        <w:rPr>
          <w:rFonts w:ascii="Arial" w:hAnsi="Arial" w:cs="Arial"/>
          <w:sz w:val="24"/>
          <w:szCs w:val="24"/>
        </w:rPr>
        <w:t xml:space="preserve"> e.g., 501 (c).</w:t>
      </w:r>
    </w:p>
    <w:p w:rsidR="00DF53B0" w:rsidRPr="007E7129" w:rsidRDefault="00DF53B0" w:rsidP="00DF53B0">
      <w:pPr>
        <w:contextualSpacing/>
        <w:rPr>
          <w:rFonts w:ascii="Arial" w:hAnsi="Arial" w:cs="Arial"/>
          <w:sz w:val="24"/>
          <w:szCs w:val="24"/>
        </w:rPr>
      </w:pPr>
      <w:r w:rsidRPr="007E7129">
        <w:rPr>
          <w:rFonts w:ascii="Arial" w:hAnsi="Arial" w:cs="Arial"/>
          <w:b/>
          <w:sz w:val="24"/>
          <w:szCs w:val="24"/>
        </w:rPr>
        <w:t>Also</w:t>
      </w:r>
      <w:r w:rsidRPr="007E7129">
        <w:rPr>
          <w:rFonts w:ascii="Arial" w:hAnsi="Arial" w:cs="Arial"/>
          <w:sz w:val="24"/>
          <w:szCs w:val="24"/>
        </w:rPr>
        <w:t>, securities and other deposits for rentals, utilities, phones, etc. cannot be reimbursed, as they should eventually be returned to you and are not expenditures.</w:t>
      </w:r>
    </w:p>
    <w:p w:rsidR="00DF53B0" w:rsidRDefault="00DF53B0" w:rsidP="00DF53B0">
      <w:pPr>
        <w:contextualSpacing/>
        <w:rPr>
          <w:rFonts w:ascii="Arial" w:hAnsi="Arial" w:cs="Arial"/>
          <w:b/>
          <w:sz w:val="24"/>
          <w:szCs w:val="24"/>
        </w:rPr>
      </w:pPr>
    </w:p>
    <w:p w:rsidR="00DF53B0" w:rsidRDefault="00DF53B0" w:rsidP="00DF53B0">
      <w:pPr>
        <w:contextualSpacing/>
        <w:rPr>
          <w:rFonts w:ascii="Arial" w:hAnsi="Arial" w:cs="Arial"/>
          <w:sz w:val="24"/>
          <w:szCs w:val="24"/>
        </w:rPr>
      </w:pPr>
      <w:r w:rsidRPr="007E7129">
        <w:rPr>
          <w:rFonts w:ascii="Arial" w:hAnsi="Arial" w:cs="Arial"/>
          <w:b/>
          <w:sz w:val="24"/>
          <w:szCs w:val="24"/>
        </w:rPr>
        <w:t>Services Costs and Administrative Costs:</w:t>
      </w:r>
      <w:r w:rsidRPr="007E7129">
        <w:rPr>
          <w:rFonts w:ascii="Arial" w:hAnsi="Arial" w:cs="Arial"/>
          <w:sz w:val="24"/>
          <w:szCs w:val="24"/>
        </w:rPr>
        <w:t xml:space="preserve">  After concluding that a specific cost is allowable, the next step is to categorize the cost as an administrative or services cost, or to split the cost between the two categories.</w:t>
      </w:r>
    </w:p>
    <w:p w:rsidR="00DF53B0" w:rsidRPr="007E7129" w:rsidRDefault="00DF53B0" w:rsidP="00DF53B0">
      <w:pPr>
        <w:contextualSpacing/>
        <w:rPr>
          <w:rFonts w:ascii="Arial" w:hAnsi="Arial" w:cs="Arial"/>
          <w:sz w:val="24"/>
          <w:szCs w:val="24"/>
        </w:rPr>
      </w:pPr>
    </w:p>
    <w:p w:rsidR="00DF53B0" w:rsidRPr="007E7129" w:rsidRDefault="00DF53B0" w:rsidP="00DF53B0">
      <w:pPr>
        <w:contextualSpacing/>
        <w:rPr>
          <w:rFonts w:ascii="Arial" w:hAnsi="Arial" w:cs="Arial"/>
          <w:sz w:val="24"/>
          <w:szCs w:val="24"/>
        </w:rPr>
      </w:pPr>
      <w:r w:rsidRPr="007E7129">
        <w:rPr>
          <w:rFonts w:ascii="Arial" w:hAnsi="Arial" w:cs="Arial"/>
          <w:sz w:val="24"/>
          <w:szCs w:val="24"/>
          <w:u w:val="single"/>
        </w:rPr>
        <w:t>Service costs</w:t>
      </w:r>
      <w:r w:rsidRPr="007E7129">
        <w:rPr>
          <w:rFonts w:ascii="Arial" w:hAnsi="Arial" w:cs="Arial"/>
          <w:sz w:val="24"/>
          <w:szCs w:val="24"/>
        </w:rPr>
        <w:t xml:space="preserve"> are costs that can be specifically attributed to your NORC program.</w:t>
      </w:r>
    </w:p>
    <w:p w:rsidR="00DF53B0" w:rsidRDefault="00DF53B0" w:rsidP="00DF53B0">
      <w:pPr>
        <w:contextualSpacing/>
        <w:rPr>
          <w:rFonts w:ascii="Arial" w:hAnsi="Arial" w:cs="Arial"/>
          <w:b/>
          <w:sz w:val="24"/>
          <w:szCs w:val="24"/>
        </w:rPr>
      </w:pPr>
    </w:p>
    <w:p w:rsidR="00DF53B0" w:rsidRPr="007E7129" w:rsidRDefault="00DF53B0" w:rsidP="00DF53B0">
      <w:pPr>
        <w:contextualSpacing/>
        <w:rPr>
          <w:rFonts w:ascii="Arial" w:hAnsi="Arial" w:cs="Arial"/>
          <w:b/>
          <w:sz w:val="24"/>
          <w:szCs w:val="24"/>
        </w:rPr>
      </w:pPr>
      <w:r w:rsidRPr="007E7129">
        <w:rPr>
          <w:rFonts w:ascii="Arial" w:hAnsi="Arial" w:cs="Arial"/>
          <w:b/>
          <w:sz w:val="24"/>
          <w:szCs w:val="24"/>
        </w:rPr>
        <w:t>Examples of Services Costs:</w:t>
      </w:r>
    </w:p>
    <w:p w:rsidR="00DF53B0" w:rsidRPr="007E7129" w:rsidRDefault="00DF53B0" w:rsidP="00DF53B0">
      <w:pPr>
        <w:pStyle w:val="ListParagraph"/>
        <w:numPr>
          <w:ilvl w:val="0"/>
          <w:numId w:val="3"/>
        </w:numPr>
        <w:rPr>
          <w:rFonts w:ascii="Arial" w:hAnsi="Arial" w:cs="Arial"/>
          <w:sz w:val="24"/>
          <w:szCs w:val="24"/>
        </w:rPr>
      </w:pPr>
      <w:r w:rsidRPr="007E7129">
        <w:rPr>
          <w:rFonts w:ascii="Arial" w:hAnsi="Arial" w:cs="Arial"/>
          <w:sz w:val="24"/>
          <w:szCs w:val="24"/>
        </w:rPr>
        <w:t>Salaries/wages and related benefits of staff who are an integral part of the program</w:t>
      </w:r>
      <w:r>
        <w:rPr>
          <w:rFonts w:ascii="Arial" w:hAnsi="Arial" w:cs="Arial"/>
          <w:sz w:val="24"/>
          <w:szCs w:val="24"/>
        </w:rPr>
        <w:t>;</w:t>
      </w:r>
    </w:p>
    <w:p w:rsidR="00DF53B0" w:rsidRPr="007E7129" w:rsidRDefault="00DF53B0" w:rsidP="00DF53B0">
      <w:pPr>
        <w:pStyle w:val="ListParagraph"/>
        <w:numPr>
          <w:ilvl w:val="0"/>
          <w:numId w:val="3"/>
        </w:numPr>
        <w:rPr>
          <w:rFonts w:ascii="Arial" w:hAnsi="Arial" w:cs="Arial"/>
          <w:sz w:val="24"/>
          <w:szCs w:val="24"/>
        </w:rPr>
      </w:pPr>
      <w:r>
        <w:rPr>
          <w:rFonts w:ascii="Arial" w:hAnsi="Arial" w:cs="Arial"/>
          <w:sz w:val="24"/>
          <w:szCs w:val="24"/>
        </w:rPr>
        <w:t>Direct materials and supplies;</w:t>
      </w:r>
    </w:p>
    <w:p w:rsidR="00DF53B0" w:rsidRPr="007E7129" w:rsidRDefault="00DF53B0" w:rsidP="00DF53B0">
      <w:pPr>
        <w:pStyle w:val="ListParagraph"/>
        <w:numPr>
          <w:ilvl w:val="0"/>
          <w:numId w:val="3"/>
        </w:numPr>
        <w:rPr>
          <w:rFonts w:ascii="Arial" w:hAnsi="Arial" w:cs="Arial"/>
          <w:sz w:val="24"/>
          <w:szCs w:val="24"/>
        </w:rPr>
      </w:pPr>
      <w:r w:rsidRPr="007E7129">
        <w:rPr>
          <w:rFonts w:ascii="Arial" w:hAnsi="Arial" w:cs="Arial"/>
          <w:sz w:val="24"/>
          <w:szCs w:val="24"/>
        </w:rPr>
        <w:t>Contractors</w:t>
      </w:r>
      <w:r>
        <w:rPr>
          <w:rFonts w:ascii="Arial" w:hAnsi="Arial" w:cs="Arial"/>
          <w:sz w:val="24"/>
          <w:szCs w:val="24"/>
        </w:rPr>
        <w:t xml:space="preserve"> and consultants;</w:t>
      </w:r>
    </w:p>
    <w:p w:rsidR="00DF53B0" w:rsidRPr="007E7129" w:rsidRDefault="00DF53B0" w:rsidP="00DF53B0">
      <w:pPr>
        <w:pStyle w:val="ListParagraph"/>
        <w:numPr>
          <w:ilvl w:val="0"/>
          <w:numId w:val="3"/>
        </w:numPr>
        <w:rPr>
          <w:rFonts w:ascii="Arial" w:hAnsi="Arial" w:cs="Arial"/>
          <w:sz w:val="24"/>
          <w:szCs w:val="24"/>
        </w:rPr>
      </w:pPr>
      <w:r w:rsidRPr="007E7129">
        <w:rPr>
          <w:rFonts w:ascii="Arial" w:hAnsi="Arial" w:cs="Arial"/>
          <w:sz w:val="24"/>
          <w:szCs w:val="24"/>
        </w:rPr>
        <w:t>Travel costs (e.g., meals, lodging, conference fees) directly related to the program</w:t>
      </w:r>
      <w:r>
        <w:rPr>
          <w:rFonts w:ascii="Arial" w:hAnsi="Arial" w:cs="Arial"/>
          <w:sz w:val="24"/>
          <w:szCs w:val="24"/>
        </w:rPr>
        <w:t>;</w:t>
      </w:r>
    </w:p>
    <w:p w:rsidR="00DF53B0" w:rsidRPr="007E7129" w:rsidRDefault="00DF53B0" w:rsidP="00DF53B0">
      <w:pPr>
        <w:pStyle w:val="ListParagraph"/>
        <w:numPr>
          <w:ilvl w:val="0"/>
          <w:numId w:val="3"/>
        </w:numPr>
        <w:rPr>
          <w:rFonts w:ascii="Arial" w:hAnsi="Arial" w:cs="Arial"/>
          <w:sz w:val="24"/>
          <w:szCs w:val="24"/>
        </w:rPr>
      </w:pPr>
      <w:r w:rsidRPr="007E7129">
        <w:rPr>
          <w:rFonts w:ascii="Arial" w:hAnsi="Arial" w:cs="Arial"/>
          <w:sz w:val="24"/>
          <w:szCs w:val="24"/>
        </w:rPr>
        <w:t>Equipment used exclusively for the program</w:t>
      </w:r>
      <w:r>
        <w:rPr>
          <w:rFonts w:ascii="Arial" w:hAnsi="Arial" w:cs="Arial"/>
          <w:sz w:val="24"/>
          <w:szCs w:val="24"/>
        </w:rPr>
        <w:t>;</w:t>
      </w:r>
    </w:p>
    <w:p w:rsidR="00DF53B0" w:rsidRPr="007E7129" w:rsidRDefault="00DF53B0" w:rsidP="00DF53B0">
      <w:pPr>
        <w:pStyle w:val="ListParagraph"/>
        <w:numPr>
          <w:ilvl w:val="0"/>
          <w:numId w:val="3"/>
        </w:numPr>
        <w:rPr>
          <w:rFonts w:ascii="Arial" w:hAnsi="Arial" w:cs="Arial"/>
          <w:sz w:val="24"/>
          <w:szCs w:val="24"/>
        </w:rPr>
      </w:pPr>
      <w:r w:rsidRPr="007E7129">
        <w:rPr>
          <w:rFonts w:ascii="Arial" w:hAnsi="Arial" w:cs="Arial"/>
          <w:sz w:val="24"/>
          <w:szCs w:val="24"/>
        </w:rPr>
        <w:t>Alterations, repairs, and maintenance costs of equipment used exclusively for the program</w:t>
      </w:r>
      <w:r>
        <w:rPr>
          <w:rFonts w:ascii="Arial" w:hAnsi="Arial" w:cs="Arial"/>
          <w:sz w:val="24"/>
          <w:szCs w:val="24"/>
        </w:rPr>
        <w:t>; and</w:t>
      </w:r>
    </w:p>
    <w:p w:rsidR="00DF53B0" w:rsidRPr="007E7129" w:rsidRDefault="00DF53B0" w:rsidP="00DF53B0">
      <w:pPr>
        <w:pStyle w:val="ListParagraph"/>
        <w:numPr>
          <w:ilvl w:val="0"/>
          <w:numId w:val="3"/>
        </w:numPr>
        <w:rPr>
          <w:rFonts w:ascii="Arial" w:hAnsi="Arial" w:cs="Arial"/>
          <w:sz w:val="24"/>
          <w:szCs w:val="24"/>
        </w:rPr>
      </w:pPr>
      <w:r w:rsidRPr="007E7129">
        <w:rPr>
          <w:rFonts w:ascii="Arial" w:hAnsi="Arial" w:cs="Arial"/>
          <w:sz w:val="24"/>
          <w:szCs w:val="24"/>
        </w:rPr>
        <w:t>IT costs and services directly identifiable with the program</w:t>
      </w:r>
      <w:r>
        <w:rPr>
          <w:rFonts w:ascii="Arial" w:hAnsi="Arial" w:cs="Arial"/>
          <w:sz w:val="24"/>
          <w:szCs w:val="24"/>
        </w:rPr>
        <w:t>.</w:t>
      </w:r>
    </w:p>
    <w:p w:rsidR="00DF53B0" w:rsidRPr="007E7129" w:rsidRDefault="00DF53B0" w:rsidP="00DF53B0">
      <w:pPr>
        <w:contextualSpacing/>
        <w:rPr>
          <w:rFonts w:ascii="Arial" w:hAnsi="Arial" w:cs="Arial"/>
          <w:sz w:val="24"/>
          <w:szCs w:val="24"/>
          <w:u w:val="single"/>
        </w:rPr>
      </w:pPr>
    </w:p>
    <w:p w:rsidR="00DF53B0" w:rsidRPr="007E7129" w:rsidRDefault="00DF53B0" w:rsidP="00DF53B0">
      <w:pPr>
        <w:contextualSpacing/>
        <w:rPr>
          <w:rFonts w:ascii="Arial" w:eastAsia="Times New Roman" w:hAnsi="Arial" w:cs="Arial"/>
          <w:sz w:val="24"/>
          <w:szCs w:val="24"/>
        </w:rPr>
      </w:pPr>
      <w:r w:rsidRPr="007E7129">
        <w:rPr>
          <w:rFonts w:ascii="Arial" w:hAnsi="Arial" w:cs="Arial"/>
          <w:sz w:val="24"/>
          <w:szCs w:val="24"/>
          <w:u w:val="single"/>
        </w:rPr>
        <w:t>Administrative costs</w:t>
      </w:r>
      <w:r w:rsidRPr="007E7129">
        <w:rPr>
          <w:rFonts w:ascii="Arial" w:hAnsi="Arial" w:cs="Arial"/>
          <w:sz w:val="24"/>
          <w:szCs w:val="24"/>
        </w:rPr>
        <w:t xml:space="preserve"> are e</w:t>
      </w:r>
      <w:r w:rsidRPr="007E7129">
        <w:rPr>
          <w:rFonts w:ascii="Arial" w:eastAsia="Times New Roman" w:hAnsi="Arial" w:cs="Arial"/>
          <w:sz w:val="24"/>
          <w:szCs w:val="24"/>
        </w:rPr>
        <w:t>xpenditures that cannot easily be associated with service activities but relate to the development and management of your organization.</w:t>
      </w:r>
    </w:p>
    <w:p w:rsidR="00DF53B0" w:rsidRDefault="00DF53B0" w:rsidP="00DF53B0">
      <w:pPr>
        <w:contextualSpacing/>
        <w:rPr>
          <w:rFonts w:ascii="Arial" w:hAnsi="Arial" w:cs="Arial"/>
          <w:b/>
          <w:sz w:val="24"/>
          <w:szCs w:val="24"/>
        </w:rPr>
      </w:pPr>
    </w:p>
    <w:p w:rsidR="00DF53B0" w:rsidRPr="007E7129" w:rsidRDefault="00DF53B0" w:rsidP="00DF53B0">
      <w:pPr>
        <w:contextualSpacing/>
        <w:rPr>
          <w:rFonts w:ascii="Arial" w:hAnsi="Arial" w:cs="Arial"/>
          <w:b/>
          <w:sz w:val="24"/>
          <w:szCs w:val="24"/>
        </w:rPr>
      </w:pPr>
      <w:r w:rsidRPr="007E7129">
        <w:rPr>
          <w:rFonts w:ascii="Arial" w:hAnsi="Arial" w:cs="Arial"/>
          <w:b/>
          <w:sz w:val="24"/>
          <w:szCs w:val="24"/>
        </w:rPr>
        <w:t>Examples of Administrative Costs:</w:t>
      </w:r>
    </w:p>
    <w:p w:rsidR="00DF53B0" w:rsidRPr="007E7129" w:rsidRDefault="00DF53B0" w:rsidP="00DF53B0">
      <w:pPr>
        <w:pStyle w:val="ListParagraph"/>
        <w:numPr>
          <w:ilvl w:val="0"/>
          <w:numId w:val="3"/>
        </w:numPr>
        <w:rPr>
          <w:rFonts w:ascii="Arial" w:hAnsi="Arial" w:cs="Arial"/>
          <w:sz w:val="24"/>
          <w:szCs w:val="24"/>
        </w:rPr>
      </w:pPr>
      <w:r w:rsidRPr="007E7129">
        <w:rPr>
          <w:rFonts w:ascii="Arial" w:hAnsi="Arial" w:cs="Arial"/>
          <w:sz w:val="24"/>
          <w:szCs w:val="24"/>
        </w:rPr>
        <w:t>Salaries/wages and related benefits of support personnel, clerical staff and administrators</w:t>
      </w:r>
      <w:r>
        <w:rPr>
          <w:rFonts w:ascii="Arial" w:hAnsi="Arial" w:cs="Arial"/>
          <w:sz w:val="24"/>
          <w:szCs w:val="24"/>
        </w:rPr>
        <w:t>;</w:t>
      </w:r>
    </w:p>
    <w:p w:rsidR="00DF53B0" w:rsidRPr="007E7129" w:rsidRDefault="00DF53B0" w:rsidP="00DF53B0">
      <w:pPr>
        <w:pStyle w:val="ListParagraph"/>
        <w:numPr>
          <w:ilvl w:val="0"/>
          <w:numId w:val="3"/>
        </w:numPr>
        <w:rPr>
          <w:rFonts w:ascii="Arial" w:hAnsi="Arial" w:cs="Arial"/>
          <w:sz w:val="24"/>
          <w:szCs w:val="24"/>
        </w:rPr>
      </w:pPr>
      <w:r w:rsidRPr="007E7129">
        <w:rPr>
          <w:rFonts w:ascii="Arial" w:hAnsi="Arial" w:cs="Arial"/>
          <w:sz w:val="24"/>
          <w:szCs w:val="24"/>
        </w:rPr>
        <w:t>Office supplies, postage and photocopying for general use</w:t>
      </w:r>
      <w:r>
        <w:rPr>
          <w:rFonts w:ascii="Arial" w:hAnsi="Arial" w:cs="Arial"/>
          <w:sz w:val="24"/>
          <w:szCs w:val="24"/>
        </w:rPr>
        <w:t>;</w:t>
      </w:r>
    </w:p>
    <w:p w:rsidR="00DF53B0" w:rsidRPr="007E7129" w:rsidRDefault="00DF53B0" w:rsidP="00DF53B0">
      <w:pPr>
        <w:pStyle w:val="ListParagraph"/>
        <w:numPr>
          <w:ilvl w:val="0"/>
          <w:numId w:val="3"/>
        </w:numPr>
        <w:rPr>
          <w:rFonts w:ascii="Arial" w:hAnsi="Arial" w:cs="Arial"/>
          <w:sz w:val="24"/>
          <w:szCs w:val="24"/>
        </w:rPr>
      </w:pPr>
      <w:r w:rsidRPr="007E7129">
        <w:rPr>
          <w:rFonts w:ascii="Arial" w:hAnsi="Arial" w:cs="Arial"/>
          <w:sz w:val="24"/>
          <w:szCs w:val="24"/>
        </w:rPr>
        <w:t>Basic telephone costs</w:t>
      </w:r>
      <w:r>
        <w:rPr>
          <w:rFonts w:ascii="Arial" w:hAnsi="Arial" w:cs="Arial"/>
          <w:sz w:val="24"/>
          <w:szCs w:val="24"/>
        </w:rPr>
        <w:t>;</w:t>
      </w:r>
    </w:p>
    <w:p w:rsidR="00DF53B0" w:rsidRPr="007E7129" w:rsidRDefault="00DF53B0" w:rsidP="00DF53B0">
      <w:pPr>
        <w:pStyle w:val="ListParagraph"/>
        <w:numPr>
          <w:ilvl w:val="0"/>
          <w:numId w:val="3"/>
        </w:numPr>
        <w:rPr>
          <w:rFonts w:ascii="Arial" w:hAnsi="Arial" w:cs="Arial"/>
          <w:sz w:val="24"/>
          <w:szCs w:val="24"/>
        </w:rPr>
      </w:pPr>
      <w:r w:rsidRPr="007E7129">
        <w:rPr>
          <w:rFonts w:ascii="Arial" w:hAnsi="Arial" w:cs="Arial"/>
          <w:sz w:val="24"/>
          <w:szCs w:val="24"/>
        </w:rPr>
        <w:t xml:space="preserve">Network charges for e-mail and other </w:t>
      </w:r>
      <w:proofErr w:type="gramStart"/>
      <w:r w:rsidRPr="007E7129">
        <w:rPr>
          <w:rFonts w:ascii="Arial" w:hAnsi="Arial" w:cs="Arial"/>
          <w:sz w:val="24"/>
          <w:szCs w:val="24"/>
        </w:rPr>
        <w:t>general purpose</w:t>
      </w:r>
      <w:proofErr w:type="gramEnd"/>
      <w:r w:rsidRPr="007E7129">
        <w:rPr>
          <w:rFonts w:ascii="Arial" w:hAnsi="Arial" w:cs="Arial"/>
          <w:sz w:val="24"/>
          <w:szCs w:val="24"/>
        </w:rPr>
        <w:t xml:space="preserve"> software</w:t>
      </w:r>
      <w:r>
        <w:rPr>
          <w:rFonts w:ascii="Arial" w:hAnsi="Arial" w:cs="Arial"/>
          <w:sz w:val="24"/>
          <w:szCs w:val="24"/>
        </w:rPr>
        <w:t>;</w:t>
      </w:r>
    </w:p>
    <w:p w:rsidR="00DF53B0" w:rsidRPr="007E7129" w:rsidRDefault="00DF53B0" w:rsidP="00DF53B0">
      <w:pPr>
        <w:pStyle w:val="ListParagraph"/>
        <w:numPr>
          <w:ilvl w:val="0"/>
          <w:numId w:val="3"/>
        </w:numPr>
        <w:rPr>
          <w:rFonts w:ascii="Arial" w:hAnsi="Arial" w:cs="Arial"/>
          <w:sz w:val="24"/>
          <w:szCs w:val="24"/>
        </w:rPr>
      </w:pPr>
      <w:r w:rsidRPr="007E7129">
        <w:rPr>
          <w:rFonts w:ascii="Arial" w:hAnsi="Arial" w:cs="Arial"/>
          <w:sz w:val="24"/>
          <w:szCs w:val="24"/>
        </w:rPr>
        <w:t>Purchase, repair and maintenan</w:t>
      </w:r>
      <w:r>
        <w:rPr>
          <w:rFonts w:ascii="Arial" w:hAnsi="Arial" w:cs="Arial"/>
          <w:sz w:val="24"/>
          <w:szCs w:val="24"/>
        </w:rPr>
        <w:t>ce of general purpose equipment; and</w:t>
      </w:r>
    </w:p>
    <w:p w:rsidR="00DF53B0" w:rsidRPr="007E7129" w:rsidRDefault="00DF53B0" w:rsidP="00DF53B0">
      <w:pPr>
        <w:pStyle w:val="ListParagraph"/>
        <w:numPr>
          <w:ilvl w:val="0"/>
          <w:numId w:val="3"/>
        </w:numPr>
        <w:rPr>
          <w:rFonts w:ascii="Arial" w:hAnsi="Arial" w:cs="Arial"/>
          <w:sz w:val="24"/>
          <w:szCs w:val="24"/>
        </w:rPr>
      </w:pPr>
      <w:r w:rsidRPr="007E7129">
        <w:rPr>
          <w:rFonts w:ascii="Arial" w:hAnsi="Arial" w:cs="Arial"/>
          <w:b/>
          <w:sz w:val="24"/>
          <w:szCs w:val="24"/>
        </w:rPr>
        <w:t>Please see also:</w:t>
      </w:r>
      <w:r w:rsidRPr="007E7129">
        <w:rPr>
          <w:rFonts w:ascii="Arial" w:hAnsi="Arial" w:cs="Arial"/>
          <w:sz w:val="24"/>
          <w:szCs w:val="24"/>
        </w:rPr>
        <w:t xml:space="preserve"> Maintenance and Operations: Indirect Costs, below.</w:t>
      </w:r>
    </w:p>
    <w:p w:rsidR="00DF53B0" w:rsidRPr="007E7129" w:rsidRDefault="00DF53B0" w:rsidP="00DF53B0">
      <w:pPr>
        <w:contextualSpacing/>
        <w:rPr>
          <w:rFonts w:ascii="Arial" w:hAnsi="Arial" w:cs="Arial"/>
          <w:sz w:val="24"/>
          <w:szCs w:val="24"/>
        </w:rPr>
      </w:pPr>
      <w:r w:rsidRPr="007E7129">
        <w:rPr>
          <w:rFonts w:ascii="Arial" w:hAnsi="Arial" w:cs="Arial"/>
          <w:b/>
          <w:sz w:val="24"/>
          <w:szCs w:val="24"/>
          <w:u w:val="single"/>
        </w:rPr>
        <w:lastRenderedPageBreak/>
        <w:t>In recognition of the need to maximize availability of services, NYSOFA requires contractors to expend at least 85 percent of the funding on service costs.</w:t>
      </w:r>
      <w:r w:rsidRPr="007E7129">
        <w:rPr>
          <w:rFonts w:ascii="Arial" w:hAnsi="Arial" w:cs="Arial"/>
          <w:b/>
          <w:sz w:val="24"/>
          <w:szCs w:val="24"/>
        </w:rPr>
        <w:t xml:space="preserve">  </w:t>
      </w:r>
      <w:r w:rsidRPr="007E7129">
        <w:rPr>
          <w:rFonts w:ascii="Arial" w:hAnsi="Arial" w:cs="Arial"/>
          <w:sz w:val="24"/>
          <w:szCs w:val="24"/>
        </w:rPr>
        <w:t xml:space="preserve">NYSOFA is using the definitions of administrative expenses and program expenses specified in </w:t>
      </w:r>
      <w:hyperlink r:id="rId5" w:history="1">
        <w:r w:rsidRPr="00EC1C98">
          <w:rPr>
            <w:rStyle w:val="Hyperlink"/>
            <w:rFonts w:ascii="Arial" w:hAnsi="Arial" w:cs="Arial"/>
            <w:sz w:val="24"/>
            <w:szCs w:val="24"/>
          </w:rPr>
          <w:t>9 NYCRR §6656.3(a) and (i)</w:t>
        </w:r>
      </w:hyperlink>
      <w:r w:rsidRPr="007E7129">
        <w:rPr>
          <w:rFonts w:ascii="Arial" w:hAnsi="Arial" w:cs="Arial"/>
          <w:sz w:val="24"/>
          <w:szCs w:val="24"/>
        </w:rPr>
        <w:t xml:space="preserve"> for this purpose.</w:t>
      </w:r>
    </w:p>
    <w:p w:rsidR="00DF53B0" w:rsidRDefault="00DF53B0" w:rsidP="00DF53B0">
      <w:pPr>
        <w:contextualSpacing/>
        <w:rPr>
          <w:rFonts w:ascii="Arial" w:hAnsi="Arial" w:cs="Arial"/>
          <w:b/>
          <w:sz w:val="24"/>
          <w:szCs w:val="24"/>
        </w:rPr>
      </w:pPr>
    </w:p>
    <w:p w:rsidR="00DF53B0" w:rsidRPr="007E7129" w:rsidRDefault="00DF53B0" w:rsidP="00DF53B0">
      <w:pPr>
        <w:contextualSpacing/>
        <w:rPr>
          <w:rFonts w:ascii="Arial" w:hAnsi="Arial" w:cs="Arial"/>
          <w:b/>
          <w:sz w:val="24"/>
          <w:szCs w:val="24"/>
        </w:rPr>
      </w:pPr>
      <w:r w:rsidRPr="007E7129">
        <w:rPr>
          <w:rFonts w:ascii="Arial" w:hAnsi="Arial" w:cs="Arial"/>
          <w:b/>
          <w:sz w:val="24"/>
          <w:szCs w:val="24"/>
        </w:rPr>
        <w:t>Volunteer Expenses:</w:t>
      </w:r>
      <w:r w:rsidRPr="007E7129">
        <w:rPr>
          <w:rFonts w:ascii="Arial" w:hAnsi="Arial" w:cs="Arial"/>
          <w:sz w:val="24"/>
          <w:szCs w:val="24"/>
        </w:rPr>
        <w:t xml:space="preserve">  Volunteer expenses may include advertising and outreach, training expenses (e.g., volunteer travel, speaker fees, training materials, refreshments) and volunteer recognition events. Funding for recognition events can include costs such as food, paper goods, decorations and limited entertainment expenses. Such costs should be budgeted under the appropriate category (e.g., travel, other expenses).</w:t>
      </w:r>
    </w:p>
    <w:p w:rsidR="00DF53B0" w:rsidRPr="007E7129" w:rsidRDefault="00DF53B0" w:rsidP="00DF53B0">
      <w:pPr>
        <w:spacing w:after="0"/>
        <w:contextualSpacing/>
        <w:rPr>
          <w:rFonts w:ascii="Arial" w:hAnsi="Arial" w:cs="Arial"/>
          <w:sz w:val="24"/>
          <w:szCs w:val="24"/>
        </w:rPr>
      </w:pPr>
      <w:r w:rsidRPr="007E7129">
        <w:rPr>
          <w:rFonts w:ascii="Arial" w:hAnsi="Arial" w:cs="Arial"/>
          <w:sz w:val="24"/>
          <w:szCs w:val="24"/>
        </w:rPr>
        <w:t>Funding cannot be used for gifts to volunteers, except for gifts of nominal cost (i.e., $25 or under) made in recognition of their contribution to the organization. Funds can be used to purchase t-shirts, mugs, pens, etc., bearing the organization or program logo or name, or other types of gifts, including gift cards. Reasonably priced awards such as plaques given for exceptional or long-standing service are also fundable. Expenditures of amounts exceeding these guidelines are not reimbursable without prior written permission from NYSOFA.</w:t>
      </w:r>
    </w:p>
    <w:p w:rsidR="00DF53B0" w:rsidRPr="007E7129" w:rsidRDefault="00DF53B0" w:rsidP="00DF53B0">
      <w:pPr>
        <w:spacing w:after="0"/>
        <w:contextualSpacing/>
        <w:rPr>
          <w:rFonts w:ascii="Arial" w:hAnsi="Arial" w:cs="Arial"/>
          <w:b/>
          <w:sz w:val="24"/>
          <w:szCs w:val="24"/>
        </w:rPr>
      </w:pPr>
    </w:p>
    <w:p w:rsidR="00DF53B0" w:rsidRPr="007E7129" w:rsidRDefault="00DF53B0" w:rsidP="00DF53B0">
      <w:pPr>
        <w:suppressAutoHyphens/>
        <w:contextualSpacing/>
        <w:rPr>
          <w:rFonts w:ascii="Arial" w:hAnsi="Arial" w:cs="Arial"/>
          <w:sz w:val="24"/>
          <w:szCs w:val="24"/>
        </w:rPr>
      </w:pPr>
      <w:r w:rsidRPr="007E7129">
        <w:rPr>
          <w:rFonts w:ascii="Arial" w:hAnsi="Arial" w:cs="Arial"/>
          <w:b/>
          <w:sz w:val="24"/>
          <w:szCs w:val="24"/>
        </w:rPr>
        <w:t xml:space="preserve">MWBE/EEO: </w:t>
      </w:r>
      <w:r w:rsidRPr="007E7129">
        <w:rPr>
          <w:rFonts w:ascii="Arial" w:hAnsi="Arial" w:cs="Arial"/>
          <w:sz w:val="24"/>
          <w:szCs w:val="24"/>
        </w:rPr>
        <w:t xml:space="preserve"> New York State Executive Law Article 15-A Sections 310 – 318 (Article 15-A) governs requirements for the participation of minority and women owned business enterprises (MWBEs) in New York State contracting. The objective of Article 15-A is to promote equality of economic opportunities for MWBEs by eliminating barriers to their participation in New York State contracting. Also, Governor Cuomo’s Executive Order 162 (EO 162) requires state contractors to disclose data on the gender, race, ethnicity, job title and salary of employees performing work on state contracts. Contracts and procurements subject to Executive Law Article 15-A and Executive Order 162</w:t>
      </w:r>
      <w:r>
        <w:rPr>
          <w:rFonts w:ascii="Arial" w:hAnsi="Arial" w:cs="Arial"/>
          <w:sz w:val="24"/>
          <w:szCs w:val="24"/>
        </w:rPr>
        <w:t xml:space="preserve"> </w:t>
      </w:r>
      <w:r w:rsidRPr="007E7129">
        <w:rPr>
          <w:rFonts w:ascii="Arial" w:hAnsi="Arial" w:cs="Arial"/>
          <w:sz w:val="24"/>
          <w:szCs w:val="24"/>
        </w:rPr>
        <w:t xml:space="preserve">issued by New York State Agencies and Authorities include provisions identifying these additional requirements. </w:t>
      </w:r>
      <w:r w:rsidRPr="007E7129">
        <w:rPr>
          <w:rFonts w:ascii="Arial" w:hAnsi="Arial" w:cs="Arial"/>
          <w:spacing w:val="-2"/>
          <w:sz w:val="24"/>
          <w:szCs w:val="24"/>
        </w:rPr>
        <w:t xml:space="preserve"> These requirements also apply to subcontractors receiving </w:t>
      </w:r>
      <w:proofErr w:type="gramStart"/>
      <w:r w:rsidRPr="007E7129">
        <w:rPr>
          <w:rFonts w:ascii="Arial" w:hAnsi="Arial" w:cs="Arial"/>
          <w:spacing w:val="-2"/>
          <w:sz w:val="24"/>
          <w:szCs w:val="24"/>
        </w:rPr>
        <w:t>in excess of</w:t>
      </w:r>
      <w:proofErr w:type="gramEnd"/>
      <w:r w:rsidRPr="007E7129">
        <w:rPr>
          <w:rFonts w:ascii="Arial" w:hAnsi="Arial" w:cs="Arial"/>
          <w:spacing w:val="-2"/>
          <w:sz w:val="24"/>
          <w:szCs w:val="24"/>
        </w:rPr>
        <w:t xml:space="preserve"> $25,000.</w:t>
      </w:r>
    </w:p>
    <w:p w:rsidR="00DF53B0" w:rsidRDefault="00DF53B0" w:rsidP="00DF53B0">
      <w:pPr>
        <w:contextualSpacing/>
        <w:rPr>
          <w:rFonts w:ascii="Arial" w:hAnsi="Arial" w:cs="Arial"/>
          <w:sz w:val="24"/>
          <w:szCs w:val="24"/>
        </w:rPr>
      </w:pPr>
    </w:p>
    <w:p w:rsidR="00DF53B0" w:rsidRPr="007E7129" w:rsidRDefault="00DF53B0" w:rsidP="00DF53B0">
      <w:pPr>
        <w:contextualSpacing/>
        <w:rPr>
          <w:rFonts w:ascii="Arial" w:hAnsi="Arial" w:cs="Arial"/>
          <w:b/>
          <w:sz w:val="24"/>
          <w:szCs w:val="24"/>
        </w:rPr>
      </w:pPr>
      <w:r w:rsidRPr="007E7129">
        <w:rPr>
          <w:rFonts w:ascii="Arial" w:hAnsi="Arial" w:cs="Arial"/>
          <w:sz w:val="24"/>
          <w:szCs w:val="24"/>
        </w:rPr>
        <w:t>Please be mindful of MWBE and EO 162 requirements in your contract as you prepare your budget.</w:t>
      </w:r>
    </w:p>
    <w:p w:rsidR="00DF53B0" w:rsidRDefault="00DF53B0" w:rsidP="00DF53B0">
      <w:pPr>
        <w:contextualSpacing/>
        <w:rPr>
          <w:rFonts w:ascii="Arial" w:hAnsi="Arial" w:cs="Arial"/>
          <w:b/>
          <w:sz w:val="24"/>
          <w:szCs w:val="24"/>
        </w:rPr>
      </w:pPr>
    </w:p>
    <w:p w:rsidR="00DF53B0" w:rsidRDefault="00DF53B0" w:rsidP="00DF53B0">
      <w:pPr>
        <w:contextualSpacing/>
        <w:rPr>
          <w:rFonts w:ascii="Arial" w:hAnsi="Arial" w:cs="Arial"/>
          <w:b/>
          <w:sz w:val="24"/>
          <w:szCs w:val="24"/>
        </w:rPr>
      </w:pPr>
      <w:r>
        <w:rPr>
          <w:rFonts w:ascii="Arial" w:hAnsi="Arial" w:cs="Arial"/>
          <w:b/>
          <w:sz w:val="24"/>
          <w:szCs w:val="24"/>
        </w:rPr>
        <w:t xml:space="preserve">Directions for Completing </w:t>
      </w:r>
      <w:r w:rsidR="008A5B60">
        <w:rPr>
          <w:rFonts w:ascii="Arial" w:hAnsi="Arial" w:cs="Arial"/>
          <w:b/>
          <w:sz w:val="24"/>
          <w:szCs w:val="24"/>
        </w:rPr>
        <w:t>the Budget</w:t>
      </w:r>
    </w:p>
    <w:p w:rsidR="00DF53B0" w:rsidRPr="00F65D85" w:rsidRDefault="00DF53B0" w:rsidP="00DF53B0">
      <w:pPr>
        <w:contextualSpacing/>
        <w:rPr>
          <w:rFonts w:ascii="Arial" w:hAnsi="Arial" w:cs="Arial"/>
          <w:b/>
          <w:sz w:val="28"/>
          <w:szCs w:val="24"/>
        </w:rPr>
      </w:pPr>
    </w:p>
    <w:p w:rsidR="00DF53B0" w:rsidRPr="00F65D85" w:rsidRDefault="00DF53B0" w:rsidP="00DF53B0">
      <w:pPr>
        <w:contextualSpacing/>
        <w:rPr>
          <w:rFonts w:ascii="Arial" w:hAnsi="Arial" w:cs="Arial"/>
          <w:b/>
          <w:sz w:val="24"/>
        </w:rPr>
      </w:pPr>
      <w:r w:rsidRPr="00F65D85">
        <w:rPr>
          <w:rFonts w:ascii="Arial" w:hAnsi="Arial" w:cs="Arial"/>
          <w:b/>
          <w:sz w:val="24"/>
        </w:rPr>
        <w:t>Budget Summary:</w:t>
      </w:r>
    </w:p>
    <w:p w:rsidR="00DF53B0" w:rsidRPr="00F65D85" w:rsidRDefault="00DF53B0" w:rsidP="00DF53B0">
      <w:pPr>
        <w:contextualSpacing/>
        <w:rPr>
          <w:rFonts w:ascii="Arial" w:hAnsi="Arial" w:cs="Arial"/>
          <w:sz w:val="24"/>
        </w:rPr>
      </w:pPr>
      <w:r w:rsidRPr="00F65D85">
        <w:rPr>
          <w:rFonts w:ascii="Arial" w:hAnsi="Arial" w:cs="Arial"/>
          <w:sz w:val="24"/>
        </w:rPr>
        <w:t xml:space="preserve">This is the summation of all projected expenses for the program compiled from the Supplementary Budget </w:t>
      </w:r>
      <w:r>
        <w:rPr>
          <w:rFonts w:ascii="Arial" w:hAnsi="Arial" w:cs="Arial"/>
          <w:sz w:val="24"/>
        </w:rPr>
        <w:t>sections</w:t>
      </w:r>
      <w:r w:rsidRPr="00F65D85">
        <w:rPr>
          <w:rFonts w:ascii="Arial" w:hAnsi="Arial" w:cs="Arial"/>
          <w:sz w:val="24"/>
        </w:rPr>
        <w:t>. Supplementary Budget sections include formulas which total and carry over the amounts chargeable to the Budget Summary.</w:t>
      </w:r>
      <w:r w:rsidR="00C80FDA">
        <w:rPr>
          <w:rFonts w:ascii="Arial" w:hAnsi="Arial" w:cs="Arial"/>
          <w:sz w:val="24"/>
        </w:rPr>
        <w:t xml:space="preserve">  Be sure to provide the name of the NORC program and where indicated, check “YES” if requesting a waiver of any part of the Community Match requirement</w:t>
      </w:r>
      <w:r w:rsidR="00094447">
        <w:rPr>
          <w:rFonts w:ascii="Arial" w:hAnsi="Arial" w:cs="Arial"/>
          <w:sz w:val="24"/>
        </w:rPr>
        <w:t>;</w:t>
      </w:r>
      <w:r w:rsidR="00C80FDA">
        <w:rPr>
          <w:rFonts w:ascii="Arial" w:hAnsi="Arial" w:cs="Arial"/>
          <w:sz w:val="24"/>
        </w:rPr>
        <w:t xml:space="preserve"> otherwise, check “NO”.</w:t>
      </w:r>
    </w:p>
    <w:p w:rsidR="00DF53B0" w:rsidRDefault="00DF53B0" w:rsidP="00DF53B0">
      <w:pPr>
        <w:contextualSpacing/>
        <w:rPr>
          <w:rFonts w:ascii="Arial" w:hAnsi="Arial" w:cs="Arial"/>
          <w:b/>
          <w:sz w:val="24"/>
        </w:rPr>
      </w:pPr>
    </w:p>
    <w:p w:rsidR="009D5346" w:rsidRDefault="009D5346" w:rsidP="00DF53B0">
      <w:pPr>
        <w:contextualSpacing/>
        <w:rPr>
          <w:rFonts w:ascii="Arial" w:hAnsi="Arial" w:cs="Arial"/>
          <w:b/>
          <w:sz w:val="24"/>
        </w:rPr>
      </w:pPr>
    </w:p>
    <w:p w:rsidR="00DF53B0" w:rsidRPr="00F65D85" w:rsidRDefault="00DF53B0" w:rsidP="00DF53B0">
      <w:pPr>
        <w:contextualSpacing/>
        <w:rPr>
          <w:rFonts w:ascii="Arial" w:hAnsi="Arial" w:cs="Arial"/>
          <w:b/>
          <w:sz w:val="24"/>
        </w:rPr>
      </w:pPr>
      <w:r w:rsidRPr="00F65D85">
        <w:rPr>
          <w:rFonts w:ascii="Arial" w:hAnsi="Arial" w:cs="Arial"/>
          <w:b/>
          <w:sz w:val="24"/>
        </w:rPr>
        <w:lastRenderedPageBreak/>
        <w:t xml:space="preserve">Supplementary Budget </w:t>
      </w:r>
      <w:r>
        <w:rPr>
          <w:rFonts w:ascii="Arial" w:hAnsi="Arial" w:cs="Arial"/>
          <w:b/>
          <w:sz w:val="24"/>
        </w:rPr>
        <w:t>Sections</w:t>
      </w:r>
      <w:r w:rsidRPr="00F65D85">
        <w:rPr>
          <w:rFonts w:ascii="Arial" w:hAnsi="Arial" w:cs="Arial"/>
          <w:b/>
          <w:sz w:val="24"/>
        </w:rPr>
        <w:t>:</w:t>
      </w:r>
    </w:p>
    <w:p w:rsidR="00DF53B0" w:rsidRPr="00F65D85" w:rsidRDefault="008A5B60" w:rsidP="00DF53B0">
      <w:pPr>
        <w:contextualSpacing/>
        <w:rPr>
          <w:rFonts w:ascii="Arial" w:hAnsi="Arial" w:cs="Arial"/>
          <w:b/>
          <w:sz w:val="24"/>
        </w:rPr>
      </w:pPr>
      <w:r>
        <w:rPr>
          <w:rFonts w:ascii="Arial" w:hAnsi="Arial" w:cs="Arial"/>
          <w:b/>
          <w:sz w:val="24"/>
        </w:rPr>
        <w:t>Enter totals in whole dollars.</w:t>
      </w:r>
    </w:p>
    <w:p w:rsidR="00DF53B0" w:rsidRPr="00F65D85" w:rsidRDefault="00DF53B0" w:rsidP="00DF53B0">
      <w:pPr>
        <w:pStyle w:val="ListParagraph"/>
        <w:numPr>
          <w:ilvl w:val="0"/>
          <w:numId w:val="5"/>
        </w:numPr>
        <w:rPr>
          <w:rFonts w:ascii="Arial" w:hAnsi="Arial" w:cs="Arial"/>
          <w:b/>
          <w:sz w:val="24"/>
        </w:rPr>
      </w:pPr>
      <w:r w:rsidRPr="00F65D85">
        <w:rPr>
          <w:rFonts w:ascii="Arial" w:hAnsi="Arial" w:cs="Arial"/>
          <w:b/>
          <w:sz w:val="24"/>
        </w:rPr>
        <w:t>Personnel:</w:t>
      </w:r>
    </w:p>
    <w:p w:rsidR="00DF53B0" w:rsidRPr="00F65D85" w:rsidRDefault="008A5B60" w:rsidP="00DF53B0">
      <w:pPr>
        <w:contextualSpacing/>
        <w:rPr>
          <w:rFonts w:ascii="Arial" w:hAnsi="Arial" w:cs="Arial"/>
          <w:sz w:val="24"/>
        </w:rPr>
      </w:pPr>
      <w:r>
        <w:rPr>
          <w:rFonts w:ascii="Arial" w:hAnsi="Arial" w:cs="Arial"/>
          <w:sz w:val="24"/>
        </w:rPr>
        <w:t>Include c</w:t>
      </w:r>
      <w:r w:rsidR="00DF53B0" w:rsidRPr="00F65D85">
        <w:rPr>
          <w:rFonts w:ascii="Arial" w:hAnsi="Arial" w:cs="Arial"/>
          <w:sz w:val="24"/>
        </w:rPr>
        <w:t xml:space="preserve">ompensation of employees for personal service rendered under the contract, during the </w:t>
      </w:r>
      <w:r>
        <w:rPr>
          <w:rFonts w:ascii="Arial" w:hAnsi="Arial" w:cs="Arial"/>
          <w:sz w:val="24"/>
        </w:rPr>
        <w:t xml:space="preserve">funding </w:t>
      </w:r>
      <w:r w:rsidR="00DF53B0" w:rsidRPr="00F65D85">
        <w:rPr>
          <w:rFonts w:ascii="Arial" w:hAnsi="Arial" w:cs="Arial"/>
          <w:sz w:val="24"/>
        </w:rPr>
        <w:t xml:space="preserve">period. Only personnel who are active and necessary contributors to the program should be listed on this schedule. </w:t>
      </w:r>
    </w:p>
    <w:p w:rsidR="00DF53B0" w:rsidRPr="00F65D85" w:rsidRDefault="00DF53B0" w:rsidP="00DF53B0">
      <w:pPr>
        <w:contextualSpacing/>
        <w:rPr>
          <w:rFonts w:ascii="Arial" w:hAnsi="Arial" w:cs="Arial"/>
          <w:sz w:val="24"/>
        </w:rPr>
      </w:pPr>
      <w:r w:rsidRPr="00F65D85">
        <w:rPr>
          <w:rFonts w:ascii="Arial" w:hAnsi="Arial" w:cs="Arial"/>
          <w:sz w:val="24"/>
        </w:rPr>
        <w:t>For each employee, include:</w:t>
      </w:r>
    </w:p>
    <w:p w:rsidR="00DF53B0" w:rsidRPr="00F65D85" w:rsidRDefault="00DF53B0" w:rsidP="00DF53B0">
      <w:pPr>
        <w:pStyle w:val="ListParagraph"/>
        <w:numPr>
          <w:ilvl w:val="0"/>
          <w:numId w:val="4"/>
        </w:numPr>
        <w:rPr>
          <w:rFonts w:ascii="Arial" w:hAnsi="Arial" w:cs="Arial"/>
          <w:sz w:val="24"/>
        </w:rPr>
      </w:pPr>
      <w:r w:rsidRPr="00F65D85">
        <w:rPr>
          <w:rFonts w:ascii="Arial" w:hAnsi="Arial" w:cs="Arial"/>
          <w:sz w:val="24"/>
        </w:rPr>
        <w:t>name and title (In lieu of a name, “To Be Determined” is acceptable for positions to be filled in the foreseeable future.)</w:t>
      </w:r>
    </w:p>
    <w:p w:rsidR="00DF53B0" w:rsidRPr="00F65D85" w:rsidRDefault="00DF53B0" w:rsidP="00DF53B0">
      <w:pPr>
        <w:pStyle w:val="ListParagraph"/>
        <w:numPr>
          <w:ilvl w:val="0"/>
          <w:numId w:val="4"/>
        </w:numPr>
        <w:rPr>
          <w:rFonts w:ascii="Arial" w:hAnsi="Arial" w:cs="Arial"/>
          <w:sz w:val="24"/>
        </w:rPr>
      </w:pPr>
      <w:r w:rsidRPr="00F65D85">
        <w:rPr>
          <w:rFonts w:ascii="Arial" w:hAnsi="Arial" w:cs="Arial"/>
          <w:sz w:val="24"/>
        </w:rPr>
        <w:t>annualized salary (For hourly employees, this is the amount they are paid per year, consisting of the hourly rate x average number of hours worked weekly and then computed annually.)</w:t>
      </w:r>
    </w:p>
    <w:p w:rsidR="00DF53B0" w:rsidRPr="00F65D85" w:rsidRDefault="00DF53B0" w:rsidP="00DF53B0">
      <w:pPr>
        <w:pStyle w:val="ListParagraph"/>
        <w:numPr>
          <w:ilvl w:val="0"/>
          <w:numId w:val="4"/>
        </w:numPr>
        <w:rPr>
          <w:rFonts w:ascii="Arial" w:hAnsi="Arial" w:cs="Arial"/>
          <w:sz w:val="24"/>
        </w:rPr>
      </w:pPr>
      <w:r w:rsidRPr="00F65D85">
        <w:rPr>
          <w:rFonts w:ascii="Arial" w:hAnsi="Arial" w:cs="Arial"/>
          <w:sz w:val="24"/>
        </w:rPr>
        <w:t>total hours worked per week or average for hourly employees</w:t>
      </w:r>
    </w:p>
    <w:p w:rsidR="00DF53B0" w:rsidRPr="00F65D85" w:rsidRDefault="00DF53B0" w:rsidP="00DF53B0">
      <w:pPr>
        <w:pStyle w:val="ListParagraph"/>
        <w:numPr>
          <w:ilvl w:val="0"/>
          <w:numId w:val="4"/>
        </w:numPr>
        <w:rPr>
          <w:rFonts w:ascii="Arial" w:hAnsi="Arial" w:cs="Arial"/>
          <w:sz w:val="24"/>
        </w:rPr>
      </w:pPr>
      <w:r w:rsidRPr="00F65D85">
        <w:rPr>
          <w:rFonts w:ascii="Arial" w:hAnsi="Arial" w:cs="Arial"/>
          <w:sz w:val="24"/>
        </w:rPr>
        <w:t>percent of time spent on the program (note: this may be different than</w:t>
      </w:r>
      <w:r w:rsidR="00215909">
        <w:rPr>
          <w:rFonts w:ascii="Arial" w:hAnsi="Arial" w:cs="Arial"/>
          <w:sz w:val="24"/>
        </w:rPr>
        <w:t>, but cannot be lower than,</w:t>
      </w:r>
      <w:r w:rsidRPr="00F65D85">
        <w:rPr>
          <w:rFonts w:ascii="Arial" w:hAnsi="Arial" w:cs="Arial"/>
          <w:sz w:val="24"/>
        </w:rPr>
        <w:t xml:space="preserve"> the percent of time charged to program)</w:t>
      </w:r>
    </w:p>
    <w:p w:rsidR="00DF53B0" w:rsidRPr="00F65D85" w:rsidRDefault="00DF53B0" w:rsidP="00DF53B0">
      <w:pPr>
        <w:pStyle w:val="ListParagraph"/>
        <w:numPr>
          <w:ilvl w:val="0"/>
          <w:numId w:val="4"/>
        </w:numPr>
        <w:rPr>
          <w:rFonts w:ascii="Arial" w:hAnsi="Arial" w:cs="Arial"/>
          <w:sz w:val="24"/>
        </w:rPr>
      </w:pPr>
      <w:r w:rsidRPr="00F65D85">
        <w:rPr>
          <w:rFonts w:ascii="Arial" w:hAnsi="Arial" w:cs="Arial"/>
          <w:sz w:val="24"/>
        </w:rPr>
        <w:t>breakdown of services and administrative costs</w:t>
      </w:r>
    </w:p>
    <w:p w:rsidR="00DF53B0" w:rsidRPr="00F65D85" w:rsidRDefault="00DF53B0" w:rsidP="00DF53B0">
      <w:pPr>
        <w:pStyle w:val="ListParagraph"/>
        <w:numPr>
          <w:ilvl w:val="0"/>
          <w:numId w:val="4"/>
        </w:numPr>
        <w:rPr>
          <w:rFonts w:ascii="Arial" w:hAnsi="Arial" w:cs="Arial"/>
          <w:sz w:val="24"/>
        </w:rPr>
      </w:pPr>
      <w:r w:rsidRPr="00F65D85">
        <w:rPr>
          <w:rFonts w:ascii="Arial" w:hAnsi="Arial" w:cs="Arial"/>
          <w:sz w:val="24"/>
        </w:rPr>
        <w:t>total amount charged to contract.</w:t>
      </w:r>
    </w:p>
    <w:p w:rsidR="00DF53B0" w:rsidRDefault="00DF53B0" w:rsidP="00DF53B0">
      <w:pPr>
        <w:contextualSpacing/>
        <w:rPr>
          <w:rFonts w:ascii="Arial" w:hAnsi="Arial" w:cs="Arial"/>
          <w:sz w:val="24"/>
        </w:rPr>
      </w:pPr>
      <w:r w:rsidRPr="00F65D85">
        <w:rPr>
          <w:rFonts w:ascii="Arial" w:hAnsi="Arial" w:cs="Arial"/>
          <w:sz w:val="24"/>
        </w:rPr>
        <w:t xml:space="preserve">Board approved or contract negotiated salary increases that occur during the program period are reimbursable. Bonuses or other incentive compensation, as well as payments for unused leave, are not allowable. </w:t>
      </w:r>
    </w:p>
    <w:p w:rsidR="00DF53B0" w:rsidRPr="00F65D85" w:rsidRDefault="00DF53B0" w:rsidP="00DF53B0">
      <w:pPr>
        <w:pStyle w:val="ListParagraph"/>
        <w:numPr>
          <w:ilvl w:val="0"/>
          <w:numId w:val="5"/>
        </w:numPr>
        <w:rPr>
          <w:rFonts w:ascii="Arial" w:hAnsi="Arial" w:cs="Arial"/>
          <w:b/>
          <w:sz w:val="24"/>
        </w:rPr>
      </w:pPr>
      <w:r w:rsidRPr="00F65D85">
        <w:rPr>
          <w:rFonts w:ascii="Arial" w:hAnsi="Arial" w:cs="Arial"/>
          <w:b/>
          <w:sz w:val="24"/>
        </w:rPr>
        <w:t xml:space="preserve">Fringe Benefits:  </w:t>
      </w:r>
    </w:p>
    <w:p w:rsidR="00DF53B0" w:rsidRDefault="00DF53B0" w:rsidP="00DF53B0">
      <w:pPr>
        <w:contextualSpacing/>
        <w:rPr>
          <w:rFonts w:ascii="Arial" w:hAnsi="Arial" w:cs="Arial"/>
          <w:sz w:val="24"/>
        </w:rPr>
      </w:pPr>
      <w:r w:rsidRPr="00F65D85">
        <w:rPr>
          <w:rFonts w:ascii="Arial" w:hAnsi="Arial" w:cs="Arial"/>
          <w:sz w:val="24"/>
        </w:rPr>
        <w:t xml:space="preserve">Fringe benefits include Social Security/Medicare (FICA), NYS Unemployment Insurance (SUI), NYS Disability Insurance and Workers’ Compensation, as well as pension, vacation, health, life or dental insurance. These benefits are allowable costs if they are granted under established written policies. Fringe benefits must reflect the </w:t>
      </w:r>
      <w:r w:rsidRPr="00F65D85">
        <w:rPr>
          <w:rFonts w:ascii="Arial" w:hAnsi="Arial" w:cs="Arial"/>
          <w:sz w:val="24"/>
          <w:u w:val="single"/>
        </w:rPr>
        <w:t>employer’s</w:t>
      </w:r>
      <w:r w:rsidRPr="00F65D85">
        <w:rPr>
          <w:rFonts w:ascii="Arial" w:hAnsi="Arial" w:cs="Arial"/>
          <w:sz w:val="24"/>
        </w:rPr>
        <w:t xml:space="preserve"> share only.</w:t>
      </w:r>
    </w:p>
    <w:p w:rsidR="00DF53B0" w:rsidRPr="00F65D85" w:rsidRDefault="00DF53B0" w:rsidP="00DF53B0">
      <w:pPr>
        <w:contextualSpacing/>
        <w:rPr>
          <w:rFonts w:ascii="Arial" w:hAnsi="Arial" w:cs="Arial"/>
          <w:sz w:val="24"/>
        </w:rPr>
      </w:pPr>
    </w:p>
    <w:p w:rsidR="00DF53B0" w:rsidRPr="00F65D85" w:rsidRDefault="00DF53B0" w:rsidP="00DF53B0">
      <w:pPr>
        <w:contextualSpacing/>
        <w:rPr>
          <w:rFonts w:ascii="Arial" w:hAnsi="Arial" w:cs="Arial"/>
          <w:sz w:val="24"/>
        </w:rPr>
      </w:pPr>
      <w:r w:rsidRPr="00F65D85">
        <w:rPr>
          <w:rFonts w:ascii="Arial" w:hAnsi="Arial" w:cs="Arial"/>
          <w:sz w:val="24"/>
        </w:rPr>
        <w:t xml:space="preserve">Fringe benefits should be charged for the same staff that are listed in the Personnel section. The percentage of fringe benefits for a staff member </w:t>
      </w:r>
      <w:r w:rsidRPr="00F65D85">
        <w:rPr>
          <w:rFonts w:ascii="Arial" w:hAnsi="Arial" w:cs="Arial"/>
          <w:sz w:val="24"/>
          <w:u w:val="single"/>
        </w:rPr>
        <w:t>cannot be greater</w:t>
      </w:r>
      <w:r w:rsidRPr="00F65D85">
        <w:rPr>
          <w:rFonts w:ascii="Arial" w:hAnsi="Arial" w:cs="Arial"/>
          <w:sz w:val="24"/>
        </w:rPr>
        <w:t xml:space="preserve"> than the proportionate amount of staff member’s paid time spent on the grant program, but a </w:t>
      </w:r>
      <w:r w:rsidRPr="00F65D85">
        <w:rPr>
          <w:rFonts w:ascii="Arial" w:hAnsi="Arial" w:cs="Arial"/>
          <w:sz w:val="24"/>
          <w:u w:val="single"/>
        </w:rPr>
        <w:t>lower</w:t>
      </w:r>
      <w:r w:rsidRPr="00F65D85">
        <w:rPr>
          <w:rFonts w:ascii="Arial" w:hAnsi="Arial" w:cs="Arial"/>
          <w:sz w:val="24"/>
        </w:rPr>
        <w:t xml:space="preserve"> amount can be allocated. Any exceptions to this method of allocation must be noted and explained. </w:t>
      </w:r>
    </w:p>
    <w:p w:rsidR="00DF53B0" w:rsidRPr="00F65D85" w:rsidRDefault="00DF53B0" w:rsidP="00DF53B0">
      <w:pPr>
        <w:pStyle w:val="ListParagraph"/>
        <w:numPr>
          <w:ilvl w:val="0"/>
          <w:numId w:val="5"/>
        </w:numPr>
        <w:rPr>
          <w:rFonts w:ascii="Arial" w:hAnsi="Arial" w:cs="Arial"/>
          <w:b/>
          <w:sz w:val="24"/>
        </w:rPr>
      </w:pPr>
      <w:r w:rsidRPr="00F65D85">
        <w:rPr>
          <w:rFonts w:ascii="Arial" w:hAnsi="Arial" w:cs="Arial"/>
          <w:b/>
          <w:sz w:val="24"/>
        </w:rPr>
        <w:t>Equipment:</w:t>
      </w:r>
    </w:p>
    <w:p w:rsidR="00DF53B0" w:rsidRPr="00F65D85" w:rsidRDefault="00DF53B0" w:rsidP="00DF53B0">
      <w:pPr>
        <w:contextualSpacing/>
        <w:rPr>
          <w:rFonts w:ascii="Arial" w:hAnsi="Arial" w:cs="Arial"/>
          <w:sz w:val="24"/>
        </w:rPr>
      </w:pPr>
      <w:r w:rsidRPr="00F65D85">
        <w:rPr>
          <w:rFonts w:ascii="Arial" w:hAnsi="Arial" w:cs="Arial"/>
          <w:b/>
          <w:sz w:val="24"/>
        </w:rPr>
        <w:t>Costing $1,000 or more</w:t>
      </w:r>
      <w:r w:rsidRPr="00F65D85">
        <w:rPr>
          <w:rFonts w:ascii="Arial" w:hAnsi="Arial" w:cs="Arial"/>
          <w:sz w:val="24"/>
        </w:rPr>
        <w:t xml:space="preserve"> – These items must have a useful life of one year or more and a purchase price unit cost of $1,000 or more, whether leased or purchased. </w:t>
      </w:r>
      <w:r w:rsidR="00215909">
        <w:rPr>
          <w:rFonts w:ascii="Arial" w:hAnsi="Arial" w:cs="Arial"/>
          <w:sz w:val="24"/>
        </w:rPr>
        <w:t>T</w:t>
      </w:r>
      <w:r w:rsidRPr="00F65D85">
        <w:rPr>
          <w:rFonts w:ascii="Arial" w:hAnsi="Arial" w:cs="Arial"/>
          <w:sz w:val="24"/>
        </w:rPr>
        <w:t xml:space="preserve">ransportation and delivery charges are chargeable as part of equipment costs. </w:t>
      </w:r>
    </w:p>
    <w:p w:rsidR="00DF53B0" w:rsidRDefault="00DF53B0" w:rsidP="00DF53B0">
      <w:pPr>
        <w:contextualSpacing/>
        <w:rPr>
          <w:rFonts w:ascii="Arial" w:hAnsi="Arial" w:cs="Arial"/>
          <w:sz w:val="24"/>
        </w:rPr>
      </w:pPr>
      <w:r w:rsidRPr="00F65D85">
        <w:rPr>
          <w:rFonts w:ascii="Arial" w:hAnsi="Arial" w:cs="Arial"/>
          <w:b/>
          <w:sz w:val="24"/>
        </w:rPr>
        <w:t xml:space="preserve">Costing less than $1,000 </w:t>
      </w:r>
      <w:r w:rsidRPr="00F65D85">
        <w:rPr>
          <w:rFonts w:ascii="Arial" w:hAnsi="Arial" w:cs="Arial"/>
          <w:sz w:val="24"/>
        </w:rPr>
        <w:t>–</w:t>
      </w:r>
      <w:r w:rsidRPr="00F65D85">
        <w:rPr>
          <w:rFonts w:ascii="Arial" w:hAnsi="Arial" w:cs="Arial"/>
          <w:b/>
          <w:sz w:val="24"/>
        </w:rPr>
        <w:t xml:space="preserve"> </w:t>
      </w:r>
      <w:r w:rsidRPr="00F65D85">
        <w:rPr>
          <w:rFonts w:ascii="Arial" w:hAnsi="Arial" w:cs="Arial"/>
          <w:sz w:val="24"/>
        </w:rPr>
        <w:t xml:space="preserve">List these items having a unit cost of less than $1,000 under </w:t>
      </w:r>
      <w:r w:rsidRPr="00F65D85">
        <w:rPr>
          <w:rFonts w:ascii="Arial" w:hAnsi="Arial" w:cs="Arial"/>
          <w:b/>
          <w:sz w:val="24"/>
        </w:rPr>
        <w:t>Miscellaneous Equipment</w:t>
      </w:r>
      <w:r w:rsidRPr="00F65D85">
        <w:rPr>
          <w:rFonts w:ascii="Arial" w:hAnsi="Arial" w:cs="Arial"/>
          <w:sz w:val="24"/>
        </w:rPr>
        <w:t xml:space="preserve"> at the bottom of the equipment schedule.</w:t>
      </w:r>
    </w:p>
    <w:p w:rsidR="00DF53B0" w:rsidRDefault="00DF53B0" w:rsidP="00DF53B0">
      <w:pPr>
        <w:contextualSpacing/>
        <w:rPr>
          <w:rFonts w:ascii="Arial" w:hAnsi="Arial" w:cs="Arial"/>
          <w:sz w:val="24"/>
        </w:rPr>
      </w:pPr>
    </w:p>
    <w:tbl>
      <w:tblPr>
        <w:tblW w:w="9625" w:type="dxa"/>
        <w:tblLook w:val="04A0" w:firstRow="1" w:lastRow="0" w:firstColumn="1" w:lastColumn="0" w:noHBand="0" w:noVBand="1"/>
      </w:tblPr>
      <w:tblGrid>
        <w:gridCol w:w="3779"/>
        <w:gridCol w:w="1028"/>
        <w:gridCol w:w="844"/>
        <w:gridCol w:w="845"/>
        <w:gridCol w:w="728"/>
        <w:gridCol w:w="389"/>
        <w:gridCol w:w="2012"/>
      </w:tblGrid>
      <w:tr w:rsidR="00DF53B0" w:rsidRPr="00F65D85" w:rsidTr="004064AE">
        <w:trPr>
          <w:trHeight w:val="652"/>
        </w:trPr>
        <w:tc>
          <w:tcPr>
            <w:tcW w:w="9625" w:type="dxa"/>
            <w:gridSpan w:val="7"/>
            <w:tcBorders>
              <w:top w:val="double" w:sz="6" w:space="0" w:color="auto"/>
              <w:left w:val="double" w:sz="6" w:space="0" w:color="auto"/>
              <w:bottom w:val="nil"/>
              <w:right w:val="double" w:sz="6" w:space="0" w:color="000000"/>
            </w:tcBorders>
            <w:shd w:val="clear" w:color="auto" w:fill="auto"/>
            <w:vAlign w:val="center"/>
            <w:hideMark/>
          </w:tcPr>
          <w:p w:rsidR="00DF53B0" w:rsidRPr="00F65D85" w:rsidRDefault="00DF53B0" w:rsidP="004064AE">
            <w:pPr>
              <w:spacing w:after="0" w:line="240" w:lineRule="auto"/>
              <w:rPr>
                <w:rFonts w:ascii="Arial" w:eastAsia="Times New Roman" w:hAnsi="Arial" w:cs="Arial"/>
                <w:b/>
                <w:bCs/>
                <w:sz w:val="20"/>
                <w:szCs w:val="20"/>
              </w:rPr>
            </w:pPr>
            <w:r w:rsidRPr="00F65D85">
              <w:rPr>
                <w:rFonts w:ascii="Arial" w:eastAsia="Times New Roman" w:hAnsi="Arial" w:cs="Arial"/>
                <w:b/>
                <w:bCs/>
                <w:sz w:val="20"/>
                <w:szCs w:val="20"/>
              </w:rPr>
              <w:t>3.  Equipment:</w:t>
            </w:r>
            <w:r w:rsidRPr="00F65D85">
              <w:rPr>
                <w:rFonts w:ascii="Arial" w:eastAsia="Times New Roman" w:hAnsi="Arial" w:cs="Arial"/>
                <w:sz w:val="20"/>
                <w:szCs w:val="20"/>
              </w:rPr>
              <w:t xml:space="preserve">  List below items having a unit purchase price of $1,000 or more and useful life of one year or more. For purchased equipment with a unit cost of less than $1,000, list the items and the total for these items under Miscellaneous Equipment.</w:t>
            </w:r>
          </w:p>
        </w:tc>
      </w:tr>
      <w:tr w:rsidR="00DF53B0" w:rsidRPr="00F65D85" w:rsidTr="004064AE">
        <w:trPr>
          <w:trHeight w:val="193"/>
        </w:trPr>
        <w:tc>
          <w:tcPr>
            <w:tcW w:w="9625" w:type="dxa"/>
            <w:gridSpan w:val="7"/>
            <w:tcBorders>
              <w:top w:val="nil"/>
              <w:left w:val="double" w:sz="6" w:space="0" w:color="auto"/>
              <w:bottom w:val="single" w:sz="4" w:space="0" w:color="auto"/>
              <w:right w:val="double" w:sz="6" w:space="0" w:color="000000"/>
            </w:tcBorders>
            <w:shd w:val="clear" w:color="auto" w:fill="auto"/>
            <w:noWrap/>
            <w:vAlign w:val="bottom"/>
            <w:hideMark/>
          </w:tcPr>
          <w:p w:rsidR="00DF53B0" w:rsidRPr="00F65D85" w:rsidRDefault="00DF53B0" w:rsidP="004064AE">
            <w:pPr>
              <w:spacing w:after="0" w:line="240" w:lineRule="auto"/>
              <w:rPr>
                <w:rFonts w:ascii="Arial" w:eastAsia="Times New Roman" w:hAnsi="Arial" w:cs="Arial"/>
                <w:sz w:val="20"/>
                <w:szCs w:val="20"/>
              </w:rPr>
            </w:pPr>
            <w:r w:rsidRPr="00F65D85">
              <w:rPr>
                <w:rFonts w:ascii="Arial" w:eastAsia="Times New Roman" w:hAnsi="Arial" w:cs="Arial"/>
                <w:sz w:val="20"/>
                <w:szCs w:val="20"/>
              </w:rPr>
              <w:t> </w:t>
            </w:r>
          </w:p>
        </w:tc>
      </w:tr>
      <w:tr w:rsidR="00DF53B0" w:rsidRPr="00F65D85" w:rsidTr="004064AE">
        <w:trPr>
          <w:trHeight w:val="572"/>
        </w:trPr>
        <w:tc>
          <w:tcPr>
            <w:tcW w:w="3779"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DF53B0" w:rsidRPr="00F65D85" w:rsidRDefault="00DF53B0" w:rsidP="004064AE">
            <w:pPr>
              <w:spacing w:after="0" w:line="240" w:lineRule="auto"/>
              <w:jc w:val="center"/>
              <w:rPr>
                <w:rFonts w:ascii="Arial" w:eastAsia="Times New Roman" w:hAnsi="Arial" w:cs="Arial"/>
                <w:b/>
                <w:bCs/>
                <w:sz w:val="20"/>
                <w:szCs w:val="20"/>
              </w:rPr>
            </w:pPr>
            <w:r w:rsidRPr="00F65D85">
              <w:rPr>
                <w:rFonts w:ascii="Arial" w:eastAsia="Times New Roman" w:hAnsi="Arial" w:cs="Arial"/>
                <w:b/>
                <w:bCs/>
                <w:sz w:val="20"/>
                <w:szCs w:val="20"/>
              </w:rPr>
              <w:t>Item and Description</w:t>
            </w:r>
          </w:p>
        </w:tc>
        <w:tc>
          <w:tcPr>
            <w:tcW w:w="1028" w:type="dxa"/>
            <w:tcBorders>
              <w:top w:val="nil"/>
              <w:left w:val="nil"/>
              <w:bottom w:val="single" w:sz="4" w:space="0" w:color="auto"/>
              <w:right w:val="single" w:sz="4" w:space="0" w:color="auto"/>
            </w:tcBorders>
            <w:shd w:val="clear" w:color="auto" w:fill="auto"/>
            <w:vAlign w:val="center"/>
            <w:hideMark/>
          </w:tcPr>
          <w:p w:rsidR="00DF53B0" w:rsidRPr="00F65D85" w:rsidRDefault="00DF53B0" w:rsidP="004064AE">
            <w:pPr>
              <w:spacing w:after="0" w:line="240" w:lineRule="auto"/>
              <w:jc w:val="center"/>
              <w:rPr>
                <w:rFonts w:ascii="Arial" w:eastAsia="Times New Roman" w:hAnsi="Arial" w:cs="Arial"/>
                <w:b/>
                <w:bCs/>
                <w:sz w:val="20"/>
                <w:szCs w:val="20"/>
              </w:rPr>
            </w:pPr>
            <w:r w:rsidRPr="00F65D85">
              <w:rPr>
                <w:rFonts w:ascii="Arial" w:eastAsia="Times New Roman" w:hAnsi="Arial" w:cs="Arial"/>
                <w:b/>
                <w:bCs/>
                <w:sz w:val="20"/>
                <w:szCs w:val="20"/>
              </w:rPr>
              <w:t>Quantity</w:t>
            </w:r>
          </w:p>
        </w:tc>
        <w:tc>
          <w:tcPr>
            <w:tcW w:w="1689" w:type="dxa"/>
            <w:gridSpan w:val="2"/>
            <w:tcBorders>
              <w:top w:val="single" w:sz="4" w:space="0" w:color="auto"/>
              <w:left w:val="nil"/>
              <w:bottom w:val="single" w:sz="4" w:space="0" w:color="auto"/>
              <w:right w:val="single" w:sz="4" w:space="0" w:color="auto"/>
            </w:tcBorders>
            <w:shd w:val="clear" w:color="auto" w:fill="auto"/>
            <w:vAlign w:val="center"/>
            <w:hideMark/>
          </w:tcPr>
          <w:p w:rsidR="00DF53B0" w:rsidRPr="00F65D85" w:rsidRDefault="00DF53B0" w:rsidP="004064AE">
            <w:pPr>
              <w:spacing w:after="0" w:line="240" w:lineRule="auto"/>
              <w:jc w:val="center"/>
              <w:rPr>
                <w:rFonts w:ascii="Arial" w:eastAsia="Times New Roman" w:hAnsi="Arial" w:cs="Arial"/>
                <w:b/>
                <w:bCs/>
                <w:sz w:val="20"/>
                <w:szCs w:val="20"/>
              </w:rPr>
            </w:pPr>
            <w:r w:rsidRPr="00F65D85">
              <w:rPr>
                <w:rFonts w:ascii="Arial" w:eastAsia="Times New Roman" w:hAnsi="Arial" w:cs="Arial"/>
                <w:b/>
                <w:bCs/>
                <w:sz w:val="20"/>
                <w:szCs w:val="20"/>
              </w:rPr>
              <w:t>P=Purchase</w:t>
            </w:r>
            <w:r w:rsidRPr="00F65D85">
              <w:rPr>
                <w:rFonts w:ascii="Arial" w:eastAsia="Times New Roman" w:hAnsi="Arial" w:cs="Arial"/>
                <w:b/>
                <w:bCs/>
                <w:sz w:val="20"/>
                <w:szCs w:val="20"/>
              </w:rPr>
              <w:br/>
              <w:t>L=Lease/Rental</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DF53B0" w:rsidRPr="00F65D85" w:rsidRDefault="00DF53B0" w:rsidP="004064AE">
            <w:pPr>
              <w:spacing w:after="0" w:line="240" w:lineRule="auto"/>
              <w:jc w:val="center"/>
              <w:rPr>
                <w:rFonts w:ascii="Arial" w:eastAsia="Times New Roman" w:hAnsi="Arial" w:cs="Arial"/>
                <w:b/>
                <w:bCs/>
                <w:sz w:val="20"/>
                <w:szCs w:val="20"/>
              </w:rPr>
            </w:pPr>
            <w:r w:rsidRPr="00F65D85">
              <w:rPr>
                <w:rFonts w:ascii="Arial" w:eastAsia="Times New Roman" w:hAnsi="Arial" w:cs="Arial"/>
                <w:b/>
                <w:bCs/>
                <w:sz w:val="20"/>
                <w:szCs w:val="20"/>
              </w:rPr>
              <w:t>Purchase or Rental Price</w:t>
            </w:r>
          </w:p>
        </w:tc>
        <w:tc>
          <w:tcPr>
            <w:tcW w:w="2012" w:type="dxa"/>
            <w:tcBorders>
              <w:top w:val="single" w:sz="4" w:space="0" w:color="auto"/>
              <w:left w:val="nil"/>
              <w:bottom w:val="single" w:sz="4" w:space="0" w:color="auto"/>
              <w:right w:val="double" w:sz="6" w:space="0" w:color="000000"/>
            </w:tcBorders>
            <w:shd w:val="clear" w:color="auto" w:fill="auto"/>
            <w:vAlign w:val="center"/>
            <w:hideMark/>
          </w:tcPr>
          <w:p w:rsidR="00DF53B0" w:rsidRPr="00F65D85" w:rsidRDefault="00DF53B0" w:rsidP="004064AE">
            <w:pPr>
              <w:spacing w:after="0" w:line="240" w:lineRule="auto"/>
              <w:jc w:val="center"/>
              <w:rPr>
                <w:rFonts w:ascii="Arial" w:eastAsia="Times New Roman" w:hAnsi="Arial" w:cs="Arial"/>
                <w:b/>
                <w:bCs/>
                <w:sz w:val="20"/>
                <w:szCs w:val="20"/>
              </w:rPr>
            </w:pPr>
            <w:r w:rsidRPr="00F65D85">
              <w:rPr>
                <w:rFonts w:ascii="Arial" w:eastAsia="Times New Roman" w:hAnsi="Arial" w:cs="Arial"/>
                <w:b/>
                <w:bCs/>
                <w:sz w:val="20"/>
                <w:szCs w:val="20"/>
              </w:rPr>
              <w:t>Amount Chargeable to Program</w:t>
            </w:r>
          </w:p>
        </w:tc>
      </w:tr>
      <w:tr w:rsidR="00DF53B0" w:rsidRPr="00F65D85" w:rsidTr="004064AE">
        <w:trPr>
          <w:trHeight w:val="331"/>
        </w:trPr>
        <w:tc>
          <w:tcPr>
            <w:tcW w:w="3779" w:type="dxa"/>
            <w:tcBorders>
              <w:top w:val="single" w:sz="4" w:space="0" w:color="auto"/>
              <w:left w:val="double" w:sz="6" w:space="0" w:color="auto"/>
              <w:bottom w:val="single" w:sz="4" w:space="0" w:color="auto"/>
              <w:right w:val="single" w:sz="4" w:space="0" w:color="auto"/>
            </w:tcBorders>
            <w:shd w:val="clear" w:color="000000" w:fill="FFFFFF"/>
            <w:noWrap/>
            <w:vAlign w:val="bottom"/>
            <w:hideMark/>
          </w:tcPr>
          <w:p w:rsidR="00DF53B0" w:rsidRPr="00F65D85" w:rsidRDefault="00DF53B0" w:rsidP="004064AE">
            <w:pPr>
              <w:spacing w:after="0" w:line="240" w:lineRule="auto"/>
              <w:rPr>
                <w:rFonts w:ascii="Arial" w:eastAsia="Times New Roman" w:hAnsi="Arial" w:cs="Arial"/>
                <w:sz w:val="20"/>
                <w:szCs w:val="20"/>
              </w:rPr>
            </w:pPr>
            <w:r w:rsidRPr="00F65D85">
              <w:rPr>
                <w:rFonts w:ascii="Arial" w:eastAsia="Times New Roman" w:hAnsi="Arial" w:cs="Arial"/>
                <w:sz w:val="20"/>
                <w:szCs w:val="20"/>
              </w:rPr>
              <w:t> Photocopier lease</w:t>
            </w:r>
          </w:p>
        </w:tc>
        <w:tc>
          <w:tcPr>
            <w:tcW w:w="1028" w:type="dxa"/>
            <w:tcBorders>
              <w:top w:val="nil"/>
              <w:left w:val="nil"/>
              <w:bottom w:val="single" w:sz="4" w:space="0" w:color="auto"/>
              <w:right w:val="single" w:sz="4" w:space="0" w:color="auto"/>
            </w:tcBorders>
            <w:shd w:val="clear" w:color="000000" w:fill="FFFFFF"/>
            <w:noWrap/>
            <w:vAlign w:val="bottom"/>
            <w:hideMark/>
          </w:tcPr>
          <w:p w:rsidR="00DF53B0" w:rsidRPr="00F65D85" w:rsidRDefault="00DF53B0" w:rsidP="004064AE">
            <w:pPr>
              <w:spacing w:after="0" w:line="240" w:lineRule="auto"/>
              <w:rPr>
                <w:rFonts w:ascii="Arial" w:eastAsia="Times New Roman" w:hAnsi="Arial" w:cs="Arial"/>
                <w:sz w:val="20"/>
                <w:szCs w:val="20"/>
              </w:rPr>
            </w:pPr>
            <w:r w:rsidRPr="00F65D85">
              <w:rPr>
                <w:rFonts w:ascii="Arial" w:eastAsia="Times New Roman" w:hAnsi="Arial" w:cs="Arial"/>
                <w:sz w:val="20"/>
                <w:szCs w:val="20"/>
              </w:rPr>
              <w:t>      2</w:t>
            </w:r>
          </w:p>
        </w:tc>
        <w:tc>
          <w:tcPr>
            <w:tcW w:w="168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DF53B0" w:rsidRPr="00F65D85" w:rsidRDefault="00DF53B0" w:rsidP="004064AE">
            <w:pPr>
              <w:spacing w:after="0" w:line="240" w:lineRule="auto"/>
              <w:rPr>
                <w:rFonts w:ascii="Arial" w:eastAsia="Times New Roman" w:hAnsi="Arial" w:cs="Arial"/>
                <w:sz w:val="20"/>
                <w:szCs w:val="20"/>
              </w:rPr>
            </w:pPr>
            <w:r w:rsidRPr="00F65D85">
              <w:rPr>
                <w:rFonts w:ascii="Arial" w:eastAsia="Times New Roman" w:hAnsi="Arial" w:cs="Arial"/>
                <w:sz w:val="20"/>
                <w:szCs w:val="20"/>
              </w:rPr>
              <w:t>            L</w:t>
            </w:r>
          </w:p>
        </w:tc>
        <w:tc>
          <w:tcPr>
            <w:tcW w:w="111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DF53B0" w:rsidRPr="00F65D85" w:rsidRDefault="00DF53B0" w:rsidP="004064AE">
            <w:pPr>
              <w:spacing w:after="0" w:line="240" w:lineRule="auto"/>
              <w:rPr>
                <w:rFonts w:ascii="Arial" w:eastAsia="Times New Roman" w:hAnsi="Arial" w:cs="Arial"/>
                <w:sz w:val="20"/>
                <w:szCs w:val="20"/>
              </w:rPr>
            </w:pPr>
            <w:r w:rsidRPr="00F65D85">
              <w:rPr>
                <w:rFonts w:ascii="Arial" w:eastAsia="Times New Roman" w:hAnsi="Arial" w:cs="Arial"/>
                <w:sz w:val="20"/>
                <w:szCs w:val="20"/>
              </w:rPr>
              <w:t xml:space="preserve"> $1,000 </w:t>
            </w:r>
          </w:p>
        </w:tc>
        <w:tc>
          <w:tcPr>
            <w:tcW w:w="2012" w:type="dxa"/>
            <w:tcBorders>
              <w:top w:val="single" w:sz="4" w:space="0" w:color="auto"/>
              <w:left w:val="nil"/>
              <w:bottom w:val="single" w:sz="4" w:space="0" w:color="auto"/>
              <w:right w:val="double" w:sz="6" w:space="0" w:color="000000"/>
            </w:tcBorders>
            <w:shd w:val="clear" w:color="000000" w:fill="FFFFFF"/>
            <w:noWrap/>
            <w:vAlign w:val="bottom"/>
            <w:hideMark/>
          </w:tcPr>
          <w:p w:rsidR="00DF53B0" w:rsidRPr="00F65D85" w:rsidRDefault="00DF53B0" w:rsidP="004064AE">
            <w:pPr>
              <w:spacing w:after="0" w:line="240" w:lineRule="auto"/>
              <w:rPr>
                <w:rFonts w:ascii="Arial" w:eastAsia="Times New Roman" w:hAnsi="Arial" w:cs="Arial"/>
                <w:sz w:val="20"/>
                <w:szCs w:val="20"/>
              </w:rPr>
            </w:pPr>
            <w:r w:rsidRPr="00F65D85">
              <w:rPr>
                <w:rFonts w:ascii="Arial" w:eastAsia="Times New Roman" w:hAnsi="Arial" w:cs="Arial"/>
                <w:sz w:val="20"/>
                <w:szCs w:val="20"/>
              </w:rPr>
              <w:t>             2,000</w:t>
            </w:r>
          </w:p>
        </w:tc>
      </w:tr>
      <w:tr w:rsidR="00DF53B0" w:rsidRPr="00F65D85" w:rsidTr="004064AE">
        <w:trPr>
          <w:trHeight w:val="331"/>
        </w:trPr>
        <w:tc>
          <w:tcPr>
            <w:tcW w:w="3779" w:type="dxa"/>
            <w:tcBorders>
              <w:top w:val="single" w:sz="4" w:space="0" w:color="auto"/>
              <w:left w:val="double" w:sz="6" w:space="0" w:color="auto"/>
              <w:bottom w:val="single" w:sz="4" w:space="0" w:color="auto"/>
              <w:right w:val="single" w:sz="4" w:space="0" w:color="auto"/>
            </w:tcBorders>
            <w:shd w:val="clear" w:color="000000" w:fill="FFFFFF"/>
            <w:noWrap/>
            <w:vAlign w:val="bottom"/>
            <w:hideMark/>
          </w:tcPr>
          <w:p w:rsidR="00DF53B0" w:rsidRPr="00F65D85" w:rsidRDefault="00DF53B0" w:rsidP="004064AE">
            <w:pPr>
              <w:spacing w:after="0" w:line="240" w:lineRule="auto"/>
              <w:rPr>
                <w:rFonts w:ascii="Arial" w:eastAsia="Times New Roman" w:hAnsi="Arial" w:cs="Arial"/>
                <w:sz w:val="20"/>
                <w:szCs w:val="20"/>
              </w:rPr>
            </w:pPr>
            <w:r w:rsidRPr="00F65D85">
              <w:rPr>
                <w:rFonts w:ascii="Arial" w:eastAsia="Times New Roman" w:hAnsi="Arial" w:cs="Arial"/>
                <w:sz w:val="20"/>
                <w:szCs w:val="20"/>
              </w:rPr>
              <w:t> </w:t>
            </w:r>
          </w:p>
        </w:tc>
        <w:tc>
          <w:tcPr>
            <w:tcW w:w="1028" w:type="dxa"/>
            <w:tcBorders>
              <w:top w:val="nil"/>
              <w:left w:val="nil"/>
              <w:bottom w:val="single" w:sz="4" w:space="0" w:color="auto"/>
              <w:right w:val="single" w:sz="4" w:space="0" w:color="auto"/>
            </w:tcBorders>
            <w:shd w:val="clear" w:color="000000" w:fill="FFFFFF"/>
            <w:noWrap/>
            <w:vAlign w:val="bottom"/>
            <w:hideMark/>
          </w:tcPr>
          <w:p w:rsidR="00DF53B0" w:rsidRPr="00F65D85" w:rsidRDefault="00DF53B0" w:rsidP="004064AE">
            <w:pPr>
              <w:spacing w:after="0" w:line="240" w:lineRule="auto"/>
              <w:rPr>
                <w:rFonts w:ascii="Arial" w:eastAsia="Times New Roman" w:hAnsi="Arial" w:cs="Arial"/>
                <w:sz w:val="20"/>
                <w:szCs w:val="20"/>
              </w:rPr>
            </w:pPr>
            <w:r w:rsidRPr="00F65D85">
              <w:rPr>
                <w:rFonts w:ascii="Arial" w:eastAsia="Times New Roman" w:hAnsi="Arial" w:cs="Arial"/>
                <w:sz w:val="20"/>
                <w:szCs w:val="20"/>
              </w:rPr>
              <w:t> </w:t>
            </w:r>
          </w:p>
        </w:tc>
        <w:tc>
          <w:tcPr>
            <w:tcW w:w="168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DF53B0" w:rsidRPr="00F65D85" w:rsidRDefault="00DF53B0" w:rsidP="004064AE">
            <w:pPr>
              <w:spacing w:after="0" w:line="240" w:lineRule="auto"/>
              <w:rPr>
                <w:rFonts w:ascii="Arial" w:eastAsia="Times New Roman" w:hAnsi="Arial" w:cs="Arial"/>
                <w:sz w:val="20"/>
                <w:szCs w:val="20"/>
              </w:rPr>
            </w:pPr>
            <w:r w:rsidRPr="00F65D85">
              <w:rPr>
                <w:rFonts w:ascii="Arial" w:eastAsia="Times New Roman" w:hAnsi="Arial" w:cs="Arial"/>
                <w:sz w:val="20"/>
                <w:szCs w:val="20"/>
              </w:rPr>
              <w:t> </w:t>
            </w:r>
          </w:p>
        </w:tc>
        <w:tc>
          <w:tcPr>
            <w:tcW w:w="111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DF53B0" w:rsidRPr="00F65D85" w:rsidRDefault="00DF53B0" w:rsidP="004064AE">
            <w:pPr>
              <w:spacing w:after="0" w:line="240" w:lineRule="auto"/>
              <w:rPr>
                <w:rFonts w:ascii="Arial" w:eastAsia="Times New Roman" w:hAnsi="Arial" w:cs="Arial"/>
                <w:sz w:val="20"/>
                <w:szCs w:val="20"/>
              </w:rPr>
            </w:pPr>
            <w:r w:rsidRPr="00F65D85">
              <w:rPr>
                <w:rFonts w:ascii="Arial" w:eastAsia="Times New Roman" w:hAnsi="Arial" w:cs="Arial"/>
                <w:sz w:val="20"/>
                <w:szCs w:val="20"/>
              </w:rPr>
              <w:t> </w:t>
            </w:r>
          </w:p>
        </w:tc>
        <w:tc>
          <w:tcPr>
            <w:tcW w:w="2012" w:type="dxa"/>
            <w:tcBorders>
              <w:top w:val="single" w:sz="4" w:space="0" w:color="auto"/>
              <w:left w:val="nil"/>
              <w:bottom w:val="single" w:sz="4" w:space="0" w:color="auto"/>
              <w:right w:val="double" w:sz="6" w:space="0" w:color="000000"/>
            </w:tcBorders>
            <w:shd w:val="clear" w:color="000000" w:fill="FFFFFF"/>
            <w:noWrap/>
            <w:vAlign w:val="bottom"/>
            <w:hideMark/>
          </w:tcPr>
          <w:p w:rsidR="00DF53B0" w:rsidRPr="00F65D85" w:rsidRDefault="00DF53B0" w:rsidP="004064AE">
            <w:pPr>
              <w:spacing w:after="0" w:line="240" w:lineRule="auto"/>
              <w:rPr>
                <w:rFonts w:ascii="Arial" w:eastAsia="Times New Roman" w:hAnsi="Arial" w:cs="Arial"/>
                <w:sz w:val="20"/>
                <w:szCs w:val="20"/>
              </w:rPr>
            </w:pPr>
            <w:r w:rsidRPr="00F65D85">
              <w:rPr>
                <w:rFonts w:ascii="Arial" w:eastAsia="Times New Roman" w:hAnsi="Arial" w:cs="Arial"/>
                <w:sz w:val="20"/>
                <w:szCs w:val="20"/>
              </w:rPr>
              <w:t> </w:t>
            </w:r>
          </w:p>
        </w:tc>
      </w:tr>
      <w:tr w:rsidR="00DF53B0" w:rsidRPr="00F65D85" w:rsidTr="004064AE">
        <w:trPr>
          <w:trHeight w:val="331"/>
        </w:trPr>
        <w:tc>
          <w:tcPr>
            <w:tcW w:w="3779" w:type="dxa"/>
            <w:tcBorders>
              <w:top w:val="single" w:sz="4" w:space="0" w:color="auto"/>
              <w:left w:val="double" w:sz="6" w:space="0" w:color="auto"/>
              <w:bottom w:val="nil"/>
              <w:right w:val="single" w:sz="4" w:space="0" w:color="auto"/>
            </w:tcBorders>
            <w:shd w:val="clear" w:color="000000" w:fill="F2F2F2"/>
            <w:noWrap/>
            <w:vAlign w:val="bottom"/>
            <w:hideMark/>
          </w:tcPr>
          <w:p w:rsidR="00DF53B0" w:rsidRPr="00F65D85" w:rsidRDefault="00DF53B0" w:rsidP="004064AE">
            <w:pPr>
              <w:spacing w:after="0" w:line="240" w:lineRule="auto"/>
              <w:rPr>
                <w:rFonts w:ascii="Arial" w:eastAsia="Times New Roman" w:hAnsi="Arial" w:cs="Arial"/>
                <w:sz w:val="20"/>
                <w:szCs w:val="20"/>
              </w:rPr>
            </w:pPr>
            <w:r w:rsidRPr="00F65D85">
              <w:rPr>
                <w:rFonts w:ascii="Arial" w:eastAsia="Times New Roman" w:hAnsi="Arial" w:cs="Arial"/>
                <w:sz w:val="20"/>
                <w:szCs w:val="20"/>
              </w:rPr>
              <w:t> </w:t>
            </w:r>
          </w:p>
        </w:tc>
        <w:tc>
          <w:tcPr>
            <w:tcW w:w="5846" w:type="dxa"/>
            <w:gridSpan w:val="6"/>
            <w:tcBorders>
              <w:top w:val="single" w:sz="4" w:space="0" w:color="auto"/>
              <w:left w:val="nil"/>
              <w:bottom w:val="single" w:sz="4" w:space="0" w:color="auto"/>
              <w:right w:val="double" w:sz="6" w:space="0" w:color="000000"/>
            </w:tcBorders>
            <w:shd w:val="clear" w:color="000000" w:fill="FFFFFF"/>
            <w:noWrap/>
            <w:vAlign w:val="bottom"/>
            <w:hideMark/>
          </w:tcPr>
          <w:p w:rsidR="00DF53B0" w:rsidRPr="00F65D85" w:rsidRDefault="00DF53B0" w:rsidP="004064AE">
            <w:pPr>
              <w:spacing w:after="0" w:line="240" w:lineRule="auto"/>
              <w:rPr>
                <w:rFonts w:ascii="Arial" w:eastAsia="Times New Roman" w:hAnsi="Arial" w:cs="Arial"/>
                <w:b/>
                <w:bCs/>
                <w:sz w:val="20"/>
                <w:szCs w:val="20"/>
              </w:rPr>
            </w:pPr>
            <w:r w:rsidRPr="00F65D85">
              <w:rPr>
                <w:rFonts w:ascii="Arial" w:eastAsia="Times New Roman" w:hAnsi="Arial" w:cs="Arial"/>
                <w:b/>
                <w:bCs/>
                <w:sz w:val="20"/>
                <w:szCs w:val="20"/>
              </w:rPr>
              <w:t>Miscellaneous Equipment - List Items</w:t>
            </w:r>
          </w:p>
        </w:tc>
      </w:tr>
      <w:tr w:rsidR="00DF53B0" w:rsidRPr="00F65D85" w:rsidTr="004064AE">
        <w:trPr>
          <w:trHeight w:val="404"/>
        </w:trPr>
        <w:tc>
          <w:tcPr>
            <w:tcW w:w="3779" w:type="dxa"/>
            <w:tcBorders>
              <w:top w:val="nil"/>
              <w:left w:val="double" w:sz="6" w:space="0" w:color="auto"/>
              <w:bottom w:val="nil"/>
              <w:right w:val="single" w:sz="4" w:space="0" w:color="000000"/>
            </w:tcBorders>
            <w:shd w:val="clear" w:color="000000" w:fill="F2F2F2"/>
            <w:noWrap/>
            <w:vAlign w:val="bottom"/>
          </w:tcPr>
          <w:p w:rsidR="00DF53B0" w:rsidRPr="00F65D85" w:rsidRDefault="00DF53B0" w:rsidP="004064AE">
            <w:pPr>
              <w:spacing w:after="0" w:line="240" w:lineRule="auto"/>
              <w:rPr>
                <w:rFonts w:ascii="Arial" w:eastAsia="Times New Roman" w:hAnsi="Arial" w:cs="Arial"/>
                <w:sz w:val="20"/>
                <w:szCs w:val="20"/>
              </w:rPr>
            </w:pPr>
          </w:p>
        </w:tc>
        <w:tc>
          <w:tcPr>
            <w:tcW w:w="3834" w:type="dxa"/>
            <w:gridSpan w:val="5"/>
            <w:tcBorders>
              <w:top w:val="nil"/>
              <w:left w:val="nil"/>
              <w:bottom w:val="nil"/>
              <w:right w:val="single" w:sz="4" w:space="0" w:color="auto"/>
            </w:tcBorders>
            <w:shd w:val="clear" w:color="000000" w:fill="FFFFFF"/>
            <w:noWrap/>
            <w:vAlign w:val="bottom"/>
          </w:tcPr>
          <w:p w:rsidR="00DF53B0" w:rsidRPr="00F65D85" w:rsidRDefault="00DF53B0" w:rsidP="004064AE">
            <w:pPr>
              <w:spacing w:after="0" w:line="240" w:lineRule="auto"/>
              <w:jc w:val="center"/>
              <w:rPr>
                <w:rFonts w:ascii="Arial" w:eastAsia="Times New Roman" w:hAnsi="Arial" w:cs="Arial"/>
                <w:bCs/>
                <w:sz w:val="20"/>
                <w:szCs w:val="20"/>
              </w:rPr>
            </w:pPr>
            <w:r w:rsidRPr="00F65D85">
              <w:rPr>
                <w:rFonts w:ascii="Arial" w:eastAsia="Times New Roman" w:hAnsi="Arial" w:cs="Arial"/>
                <w:bCs/>
                <w:sz w:val="20"/>
                <w:szCs w:val="20"/>
              </w:rPr>
              <w:t>2 laptops for field use @ $800 each</w:t>
            </w:r>
          </w:p>
        </w:tc>
        <w:tc>
          <w:tcPr>
            <w:tcW w:w="2012" w:type="dxa"/>
            <w:tcBorders>
              <w:top w:val="single" w:sz="4" w:space="0" w:color="auto"/>
              <w:left w:val="nil"/>
              <w:bottom w:val="single" w:sz="4" w:space="0" w:color="auto"/>
              <w:right w:val="double" w:sz="6" w:space="0" w:color="000000"/>
            </w:tcBorders>
            <w:shd w:val="clear" w:color="000000" w:fill="FFFFFF"/>
            <w:noWrap/>
            <w:vAlign w:val="bottom"/>
          </w:tcPr>
          <w:p w:rsidR="00DF53B0" w:rsidRPr="00F65D85" w:rsidRDefault="00DF53B0" w:rsidP="004064AE">
            <w:pPr>
              <w:spacing w:after="0" w:line="240" w:lineRule="auto"/>
              <w:jc w:val="center"/>
              <w:rPr>
                <w:rFonts w:ascii="Arial" w:eastAsia="Times New Roman" w:hAnsi="Arial" w:cs="Arial"/>
                <w:sz w:val="20"/>
                <w:szCs w:val="20"/>
              </w:rPr>
            </w:pPr>
            <w:r w:rsidRPr="00F65D85">
              <w:rPr>
                <w:rFonts w:ascii="Arial" w:eastAsia="Times New Roman" w:hAnsi="Arial" w:cs="Arial"/>
                <w:sz w:val="20"/>
                <w:szCs w:val="20"/>
              </w:rPr>
              <w:t>1,600</w:t>
            </w:r>
          </w:p>
        </w:tc>
      </w:tr>
      <w:tr w:rsidR="00DF53B0" w:rsidRPr="00F65D85" w:rsidTr="004064AE">
        <w:trPr>
          <w:trHeight w:val="331"/>
        </w:trPr>
        <w:tc>
          <w:tcPr>
            <w:tcW w:w="3779" w:type="dxa"/>
            <w:tcBorders>
              <w:top w:val="nil"/>
              <w:left w:val="double" w:sz="6" w:space="0" w:color="auto"/>
              <w:bottom w:val="nil"/>
              <w:right w:val="single" w:sz="4" w:space="0" w:color="000000"/>
            </w:tcBorders>
            <w:shd w:val="clear" w:color="000000" w:fill="F2F2F2"/>
            <w:noWrap/>
            <w:vAlign w:val="bottom"/>
            <w:hideMark/>
          </w:tcPr>
          <w:p w:rsidR="00DF53B0" w:rsidRPr="00F65D85" w:rsidRDefault="00DF53B0" w:rsidP="004064AE">
            <w:pPr>
              <w:spacing w:after="0" w:line="240" w:lineRule="auto"/>
              <w:rPr>
                <w:rFonts w:ascii="Arial" w:eastAsia="Times New Roman" w:hAnsi="Arial" w:cs="Arial"/>
                <w:sz w:val="20"/>
                <w:szCs w:val="20"/>
              </w:rPr>
            </w:pPr>
            <w:r w:rsidRPr="00F65D85">
              <w:rPr>
                <w:rFonts w:ascii="Arial" w:eastAsia="Times New Roman" w:hAnsi="Arial" w:cs="Arial"/>
                <w:sz w:val="20"/>
                <w:szCs w:val="20"/>
              </w:rPr>
              <w:t> </w:t>
            </w:r>
          </w:p>
        </w:tc>
        <w:tc>
          <w:tcPr>
            <w:tcW w:w="1028" w:type="dxa"/>
            <w:tcBorders>
              <w:top w:val="single" w:sz="4" w:space="0" w:color="auto"/>
              <w:left w:val="nil"/>
              <w:bottom w:val="nil"/>
              <w:right w:val="nil"/>
            </w:tcBorders>
            <w:shd w:val="clear" w:color="000000" w:fill="FFFFFF"/>
            <w:noWrap/>
            <w:vAlign w:val="bottom"/>
            <w:hideMark/>
          </w:tcPr>
          <w:p w:rsidR="00DF53B0" w:rsidRPr="00F65D85" w:rsidRDefault="00DF53B0" w:rsidP="004064AE">
            <w:pPr>
              <w:spacing w:after="0" w:line="240" w:lineRule="auto"/>
              <w:jc w:val="center"/>
              <w:rPr>
                <w:rFonts w:ascii="Arial" w:eastAsia="Times New Roman" w:hAnsi="Arial" w:cs="Arial"/>
                <w:b/>
                <w:bCs/>
                <w:sz w:val="20"/>
                <w:szCs w:val="20"/>
              </w:rPr>
            </w:pPr>
            <w:r w:rsidRPr="00F65D85">
              <w:rPr>
                <w:rFonts w:ascii="Arial" w:eastAsia="Times New Roman" w:hAnsi="Arial" w:cs="Arial"/>
                <w:b/>
                <w:bCs/>
                <w:sz w:val="20"/>
                <w:szCs w:val="20"/>
              </w:rPr>
              <w:t> </w:t>
            </w:r>
          </w:p>
        </w:tc>
        <w:tc>
          <w:tcPr>
            <w:tcW w:w="844" w:type="dxa"/>
            <w:tcBorders>
              <w:top w:val="single" w:sz="4" w:space="0" w:color="auto"/>
              <w:left w:val="nil"/>
              <w:bottom w:val="nil"/>
              <w:right w:val="nil"/>
            </w:tcBorders>
            <w:shd w:val="clear" w:color="000000" w:fill="FFFFFF"/>
            <w:noWrap/>
            <w:vAlign w:val="bottom"/>
            <w:hideMark/>
          </w:tcPr>
          <w:p w:rsidR="00DF53B0" w:rsidRPr="00F65D85" w:rsidRDefault="00DF53B0" w:rsidP="004064AE">
            <w:pPr>
              <w:spacing w:after="0" w:line="240" w:lineRule="auto"/>
              <w:jc w:val="center"/>
              <w:rPr>
                <w:rFonts w:ascii="Arial" w:eastAsia="Times New Roman" w:hAnsi="Arial" w:cs="Arial"/>
                <w:b/>
                <w:bCs/>
                <w:sz w:val="20"/>
                <w:szCs w:val="20"/>
              </w:rPr>
            </w:pPr>
            <w:r w:rsidRPr="00F65D85">
              <w:rPr>
                <w:rFonts w:ascii="Arial" w:eastAsia="Times New Roman" w:hAnsi="Arial" w:cs="Arial"/>
                <w:b/>
                <w:bCs/>
                <w:sz w:val="20"/>
                <w:szCs w:val="20"/>
              </w:rPr>
              <w:t> </w:t>
            </w:r>
          </w:p>
        </w:tc>
        <w:tc>
          <w:tcPr>
            <w:tcW w:w="845" w:type="dxa"/>
            <w:tcBorders>
              <w:top w:val="single" w:sz="4" w:space="0" w:color="auto"/>
              <w:left w:val="nil"/>
              <w:bottom w:val="nil"/>
              <w:right w:val="nil"/>
            </w:tcBorders>
            <w:shd w:val="clear" w:color="000000" w:fill="FFFFFF"/>
            <w:noWrap/>
            <w:vAlign w:val="bottom"/>
            <w:hideMark/>
          </w:tcPr>
          <w:p w:rsidR="00DF53B0" w:rsidRPr="00F65D85" w:rsidRDefault="00DF53B0" w:rsidP="004064AE">
            <w:pPr>
              <w:spacing w:after="0" w:line="240" w:lineRule="auto"/>
              <w:jc w:val="center"/>
              <w:rPr>
                <w:rFonts w:ascii="Arial" w:eastAsia="Times New Roman" w:hAnsi="Arial" w:cs="Arial"/>
                <w:b/>
                <w:bCs/>
                <w:sz w:val="20"/>
                <w:szCs w:val="20"/>
              </w:rPr>
            </w:pPr>
            <w:r w:rsidRPr="00F65D85">
              <w:rPr>
                <w:rFonts w:ascii="Arial" w:eastAsia="Times New Roman" w:hAnsi="Arial" w:cs="Arial"/>
                <w:b/>
                <w:bCs/>
                <w:sz w:val="20"/>
                <w:szCs w:val="20"/>
              </w:rPr>
              <w:t> </w:t>
            </w:r>
          </w:p>
        </w:tc>
        <w:tc>
          <w:tcPr>
            <w:tcW w:w="728" w:type="dxa"/>
            <w:tcBorders>
              <w:top w:val="single" w:sz="4" w:space="0" w:color="auto"/>
              <w:left w:val="nil"/>
              <w:bottom w:val="nil"/>
              <w:right w:val="nil"/>
            </w:tcBorders>
            <w:shd w:val="clear" w:color="000000" w:fill="FFFFFF"/>
            <w:noWrap/>
            <w:vAlign w:val="bottom"/>
            <w:hideMark/>
          </w:tcPr>
          <w:p w:rsidR="00DF53B0" w:rsidRPr="00F65D85" w:rsidRDefault="00DF53B0" w:rsidP="004064AE">
            <w:pPr>
              <w:spacing w:after="0" w:line="240" w:lineRule="auto"/>
              <w:jc w:val="center"/>
              <w:rPr>
                <w:rFonts w:ascii="Arial" w:eastAsia="Times New Roman" w:hAnsi="Arial" w:cs="Arial"/>
                <w:b/>
                <w:bCs/>
                <w:sz w:val="20"/>
                <w:szCs w:val="20"/>
              </w:rPr>
            </w:pPr>
            <w:r w:rsidRPr="00F65D85">
              <w:rPr>
                <w:rFonts w:ascii="Arial" w:eastAsia="Times New Roman" w:hAnsi="Arial" w:cs="Arial"/>
                <w:b/>
                <w:bCs/>
                <w:sz w:val="20"/>
                <w:szCs w:val="20"/>
              </w:rPr>
              <w:t> </w:t>
            </w:r>
          </w:p>
        </w:tc>
        <w:tc>
          <w:tcPr>
            <w:tcW w:w="389" w:type="dxa"/>
            <w:tcBorders>
              <w:top w:val="nil"/>
              <w:left w:val="nil"/>
              <w:bottom w:val="single" w:sz="4" w:space="0" w:color="auto"/>
              <w:right w:val="single" w:sz="4" w:space="0" w:color="auto"/>
            </w:tcBorders>
            <w:shd w:val="clear" w:color="000000" w:fill="FFFFFF"/>
            <w:noWrap/>
            <w:vAlign w:val="bottom"/>
            <w:hideMark/>
          </w:tcPr>
          <w:p w:rsidR="00DF53B0" w:rsidRPr="00F65D85" w:rsidRDefault="00DF53B0" w:rsidP="004064AE">
            <w:pPr>
              <w:spacing w:after="0" w:line="240" w:lineRule="auto"/>
              <w:jc w:val="center"/>
              <w:rPr>
                <w:rFonts w:ascii="Arial" w:eastAsia="Times New Roman" w:hAnsi="Arial" w:cs="Arial"/>
                <w:b/>
                <w:bCs/>
                <w:sz w:val="20"/>
                <w:szCs w:val="20"/>
              </w:rPr>
            </w:pPr>
            <w:r w:rsidRPr="00F65D85">
              <w:rPr>
                <w:rFonts w:ascii="Arial" w:eastAsia="Times New Roman" w:hAnsi="Arial" w:cs="Arial"/>
                <w:b/>
                <w:bCs/>
                <w:sz w:val="20"/>
                <w:szCs w:val="20"/>
              </w:rPr>
              <w:t> </w:t>
            </w:r>
          </w:p>
        </w:tc>
        <w:tc>
          <w:tcPr>
            <w:tcW w:w="2012" w:type="dxa"/>
            <w:tcBorders>
              <w:top w:val="single" w:sz="4" w:space="0" w:color="auto"/>
              <w:left w:val="nil"/>
              <w:bottom w:val="single" w:sz="4" w:space="0" w:color="auto"/>
              <w:right w:val="double" w:sz="6" w:space="0" w:color="000000"/>
            </w:tcBorders>
            <w:shd w:val="clear" w:color="000000" w:fill="FFFFFF"/>
            <w:noWrap/>
            <w:vAlign w:val="bottom"/>
            <w:hideMark/>
          </w:tcPr>
          <w:p w:rsidR="00DF53B0" w:rsidRPr="00F65D85" w:rsidRDefault="00DF53B0" w:rsidP="004064AE">
            <w:pPr>
              <w:spacing w:after="0" w:line="240" w:lineRule="auto"/>
              <w:jc w:val="right"/>
              <w:rPr>
                <w:rFonts w:ascii="Arial" w:eastAsia="Times New Roman" w:hAnsi="Arial" w:cs="Arial"/>
                <w:sz w:val="20"/>
                <w:szCs w:val="20"/>
              </w:rPr>
            </w:pPr>
            <w:r w:rsidRPr="00F65D85">
              <w:rPr>
                <w:rFonts w:ascii="Arial" w:eastAsia="Times New Roman" w:hAnsi="Arial" w:cs="Arial"/>
                <w:sz w:val="20"/>
                <w:szCs w:val="20"/>
              </w:rPr>
              <w:t> </w:t>
            </w:r>
          </w:p>
        </w:tc>
      </w:tr>
      <w:tr w:rsidR="00DF53B0" w:rsidRPr="00F65D85" w:rsidTr="004064AE">
        <w:trPr>
          <w:trHeight w:val="331"/>
        </w:trPr>
        <w:tc>
          <w:tcPr>
            <w:tcW w:w="3779" w:type="dxa"/>
            <w:tcBorders>
              <w:top w:val="nil"/>
              <w:left w:val="double" w:sz="6" w:space="0" w:color="auto"/>
              <w:bottom w:val="single" w:sz="4" w:space="0" w:color="auto"/>
              <w:right w:val="single" w:sz="4" w:space="0" w:color="auto"/>
            </w:tcBorders>
            <w:shd w:val="clear" w:color="000000" w:fill="F2F2F2"/>
            <w:noWrap/>
            <w:vAlign w:val="bottom"/>
            <w:hideMark/>
          </w:tcPr>
          <w:p w:rsidR="00DF53B0" w:rsidRPr="00F65D85" w:rsidRDefault="00DF53B0" w:rsidP="004064AE">
            <w:pPr>
              <w:spacing w:after="0" w:line="240" w:lineRule="auto"/>
              <w:rPr>
                <w:rFonts w:ascii="Arial" w:eastAsia="Times New Roman" w:hAnsi="Arial" w:cs="Arial"/>
                <w:sz w:val="20"/>
                <w:szCs w:val="20"/>
              </w:rPr>
            </w:pPr>
            <w:r w:rsidRPr="00F65D85">
              <w:rPr>
                <w:rFonts w:ascii="Arial" w:eastAsia="Times New Roman" w:hAnsi="Arial" w:cs="Arial"/>
                <w:sz w:val="20"/>
                <w:szCs w:val="20"/>
              </w:rPr>
              <w:t> </w:t>
            </w:r>
          </w:p>
        </w:tc>
        <w:tc>
          <w:tcPr>
            <w:tcW w:w="1028" w:type="dxa"/>
            <w:tcBorders>
              <w:top w:val="single" w:sz="4" w:space="0" w:color="auto"/>
              <w:left w:val="nil"/>
              <w:bottom w:val="nil"/>
              <w:right w:val="nil"/>
            </w:tcBorders>
            <w:shd w:val="clear" w:color="000000" w:fill="FFFFFF"/>
            <w:noWrap/>
            <w:vAlign w:val="bottom"/>
            <w:hideMark/>
          </w:tcPr>
          <w:p w:rsidR="00DF53B0" w:rsidRPr="00F65D85" w:rsidRDefault="00DF53B0" w:rsidP="004064AE">
            <w:pPr>
              <w:spacing w:after="0" w:line="240" w:lineRule="auto"/>
              <w:jc w:val="center"/>
              <w:rPr>
                <w:rFonts w:ascii="Arial" w:eastAsia="Times New Roman" w:hAnsi="Arial" w:cs="Arial"/>
                <w:b/>
                <w:bCs/>
                <w:sz w:val="20"/>
                <w:szCs w:val="20"/>
              </w:rPr>
            </w:pPr>
            <w:r w:rsidRPr="00F65D85">
              <w:rPr>
                <w:rFonts w:ascii="Arial" w:eastAsia="Times New Roman" w:hAnsi="Arial" w:cs="Arial"/>
                <w:b/>
                <w:bCs/>
                <w:sz w:val="20"/>
                <w:szCs w:val="20"/>
              </w:rPr>
              <w:t> </w:t>
            </w:r>
          </w:p>
        </w:tc>
        <w:tc>
          <w:tcPr>
            <w:tcW w:w="844" w:type="dxa"/>
            <w:tcBorders>
              <w:top w:val="single" w:sz="4" w:space="0" w:color="auto"/>
              <w:left w:val="nil"/>
              <w:bottom w:val="nil"/>
              <w:right w:val="nil"/>
            </w:tcBorders>
            <w:shd w:val="clear" w:color="000000" w:fill="FFFFFF"/>
            <w:noWrap/>
            <w:vAlign w:val="bottom"/>
            <w:hideMark/>
          </w:tcPr>
          <w:p w:rsidR="00DF53B0" w:rsidRPr="00F65D85" w:rsidRDefault="00DF53B0" w:rsidP="004064AE">
            <w:pPr>
              <w:spacing w:after="0" w:line="240" w:lineRule="auto"/>
              <w:jc w:val="center"/>
              <w:rPr>
                <w:rFonts w:ascii="Arial" w:eastAsia="Times New Roman" w:hAnsi="Arial" w:cs="Arial"/>
                <w:b/>
                <w:bCs/>
                <w:sz w:val="20"/>
                <w:szCs w:val="20"/>
              </w:rPr>
            </w:pPr>
            <w:r w:rsidRPr="00F65D85">
              <w:rPr>
                <w:rFonts w:ascii="Arial" w:eastAsia="Times New Roman" w:hAnsi="Arial" w:cs="Arial"/>
                <w:b/>
                <w:bCs/>
                <w:sz w:val="20"/>
                <w:szCs w:val="20"/>
              </w:rPr>
              <w:t> </w:t>
            </w:r>
          </w:p>
        </w:tc>
        <w:tc>
          <w:tcPr>
            <w:tcW w:w="845" w:type="dxa"/>
            <w:tcBorders>
              <w:top w:val="single" w:sz="4" w:space="0" w:color="auto"/>
              <w:left w:val="nil"/>
              <w:bottom w:val="nil"/>
              <w:right w:val="nil"/>
            </w:tcBorders>
            <w:shd w:val="clear" w:color="000000" w:fill="FFFFFF"/>
            <w:noWrap/>
            <w:vAlign w:val="bottom"/>
            <w:hideMark/>
          </w:tcPr>
          <w:p w:rsidR="00DF53B0" w:rsidRPr="00F65D85" w:rsidRDefault="00DF53B0" w:rsidP="004064AE">
            <w:pPr>
              <w:spacing w:after="0" w:line="240" w:lineRule="auto"/>
              <w:jc w:val="center"/>
              <w:rPr>
                <w:rFonts w:ascii="Arial" w:eastAsia="Times New Roman" w:hAnsi="Arial" w:cs="Arial"/>
                <w:b/>
                <w:bCs/>
                <w:sz w:val="20"/>
                <w:szCs w:val="20"/>
              </w:rPr>
            </w:pPr>
            <w:r w:rsidRPr="00F65D85">
              <w:rPr>
                <w:rFonts w:ascii="Arial" w:eastAsia="Times New Roman" w:hAnsi="Arial" w:cs="Arial"/>
                <w:b/>
                <w:bCs/>
                <w:sz w:val="20"/>
                <w:szCs w:val="20"/>
              </w:rPr>
              <w:t> </w:t>
            </w:r>
          </w:p>
        </w:tc>
        <w:tc>
          <w:tcPr>
            <w:tcW w:w="728" w:type="dxa"/>
            <w:tcBorders>
              <w:top w:val="single" w:sz="4" w:space="0" w:color="auto"/>
              <w:left w:val="nil"/>
              <w:bottom w:val="nil"/>
              <w:right w:val="nil"/>
            </w:tcBorders>
            <w:shd w:val="clear" w:color="000000" w:fill="FFFFFF"/>
            <w:noWrap/>
            <w:vAlign w:val="bottom"/>
            <w:hideMark/>
          </w:tcPr>
          <w:p w:rsidR="00DF53B0" w:rsidRPr="00F65D85" w:rsidRDefault="00DF53B0" w:rsidP="004064AE">
            <w:pPr>
              <w:spacing w:after="0" w:line="240" w:lineRule="auto"/>
              <w:jc w:val="center"/>
              <w:rPr>
                <w:rFonts w:ascii="Arial" w:eastAsia="Times New Roman" w:hAnsi="Arial" w:cs="Arial"/>
                <w:b/>
                <w:bCs/>
                <w:sz w:val="20"/>
                <w:szCs w:val="20"/>
              </w:rPr>
            </w:pPr>
            <w:r w:rsidRPr="00F65D85">
              <w:rPr>
                <w:rFonts w:ascii="Arial" w:eastAsia="Times New Roman" w:hAnsi="Arial" w:cs="Arial"/>
                <w:b/>
                <w:bCs/>
                <w:sz w:val="20"/>
                <w:szCs w:val="20"/>
              </w:rPr>
              <w:t> </w:t>
            </w:r>
          </w:p>
        </w:tc>
        <w:tc>
          <w:tcPr>
            <w:tcW w:w="389" w:type="dxa"/>
            <w:tcBorders>
              <w:top w:val="nil"/>
              <w:left w:val="nil"/>
              <w:bottom w:val="single" w:sz="4" w:space="0" w:color="auto"/>
              <w:right w:val="single" w:sz="4" w:space="0" w:color="auto"/>
            </w:tcBorders>
            <w:shd w:val="clear" w:color="000000" w:fill="FFFFFF"/>
            <w:noWrap/>
            <w:vAlign w:val="bottom"/>
            <w:hideMark/>
          </w:tcPr>
          <w:p w:rsidR="00DF53B0" w:rsidRPr="00F65D85" w:rsidRDefault="00DF53B0" w:rsidP="004064AE">
            <w:pPr>
              <w:spacing w:after="0" w:line="240" w:lineRule="auto"/>
              <w:jc w:val="center"/>
              <w:rPr>
                <w:rFonts w:ascii="Arial" w:eastAsia="Times New Roman" w:hAnsi="Arial" w:cs="Arial"/>
                <w:b/>
                <w:bCs/>
                <w:sz w:val="20"/>
                <w:szCs w:val="20"/>
              </w:rPr>
            </w:pPr>
            <w:r w:rsidRPr="00F65D85">
              <w:rPr>
                <w:rFonts w:ascii="Arial" w:eastAsia="Times New Roman" w:hAnsi="Arial" w:cs="Arial"/>
                <w:b/>
                <w:bCs/>
                <w:sz w:val="20"/>
                <w:szCs w:val="20"/>
              </w:rPr>
              <w:t> </w:t>
            </w:r>
          </w:p>
        </w:tc>
        <w:tc>
          <w:tcPr>
            <w:tcW w:w="2012" w:type="dxa"/>
            <w:tcBorders>
              <w:top w:val="single" w:sz="4" w:space="0" w:color="auto"/>
              <w:left w:val="nil"/>
              <w:bottom w:val="single" w:sz="4" w:space="0" w:color="auto"/>
              <w:right w:val="double" w:sz="6" w:space="0" w:color="000000"/>
            </w:tcBorders>
            <w:shd w:val="clear" w:color="000000" w:fill="FFFFFF"/>
            <w:noWrap/>
            <w:vAlign w:val="bottom"/>
            <w:hideMark/>
          </w:tcPr>
          <w:p w:rsidR="00DF53B0" w:rsidRPr="00F65D85" w:rsidRDefault="00DF53B0" w:rsidP="004064AE">
            <w:pPr>
              <w:spacing w:after="0" w:line="240" w:lineRule="auto"/>
              <w:jc w:val="right"/>
              <w:rPr>
                <w:rFonts w:ascii="Arial" w:eastAsia="Times New Roman" w:hAnsi="Arial" w:cs="Arial"/>
                <w:sz w:val="20"/>
                <w:szCs w:val="20"/>
              </w:rPr>
            </w:pPr>
            <w:r w:rsidRPr="00F65D85">
              <w:rPr>
                <w:rFonts w:ascii="Arial" w:eastAsia="Times New Roman" w:hAnsi="Arial" w:cs="Arial"/>
                <w:sz w:val="20"/>
                <w:szCs w:val="20"/>
              </w:rPr>
              <w:t> </w:t>
            </w:r>
          </w:p>
        </w:tc>
      </w:tr>
      <w:tr w:rsidR="00DF53B0" w:rsidRPr="00F65D85" w:rsidTr="004064AE">
        <w:trPr>
          <w:trHeight w:val="538"/>
        </w:trPr>
        <w:tc>
          <w:tcPr>
            <w:tcW w:w="6496" w:type="dxa"/>
            <w:gridSpan w:val="4"/>
            <w:tcBorders>
              <w:top w:val="single" w:sz="4" w:space="0" w:color="auto"/>
              <w:left w:val="double" w:sz="6" w:space="0" w:color="auto"/>
              <w:bottom w:val="single" w:sz="4" w:space="0" w:color="auto"/>
              <w:right w:val="single" w:sz="4" w:space="0" w:color="000000"/>
            </w:tcBorders>
            <w:shd w:val="clear" w:color="000000" w:fill="F2F2F2"/>
            <w:noWrap/>
            <w:vAlign w:val="bottom"/>
            <w:hideMark/>
          </w:tcPr>
          <w:p w:rsidR="00DF53B0" w:rsidRPr="00F65D85" w:rsidRDefault="00DF53B0" w:rsidP="004064AE">
            <w:pPr>
              <w:spacing w:after="0" w:line="240" w:lineRule="auto"/>
              <w:jc w:val="center"/>
              <w:rPr>
                <w:rFonts w:ascii="Arial" w:eastAsia="Times New Roman" w:hAnsi="Arial" w:cs="Arial"/>
                <w:sz w:val="20"/>
                <w:szCs w:val="20"/>
              </w:rPr>
            </w:pPr>
            <w:r w:rsidRPr="00F65D85">
              <w:rPr>
                <w:rFonts w:ascii="Arial" w:eastAsia="Times New Roman" w:hAnsi="Arial" w:cs="Arial"/>
                <w:sz w:val="20"/>
                <w:szCs w:val="20"/>
              </w:rPr>
              <w:t> </w:t>
            </w:r>
          </w:p>
        </w:tc>
        <w:tc>
          <w:tcPr>
            <w:tcW w:w="1117"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F53B0" w:rsidRPr="00F65D85" w:rsidRDefault="00DF53B0" w:rsidP="004064AE">
            <w:pPr>
              <w:spacing w:after="0" w:line="240" w:lineRule="auto"/>
              <w:jc w:val="right"/>
              <w:rPr>
                <w:rFonts w:ascii="Arial" w:eastAsia="Times New Roman" w:hAnsi="Arial" w:cs="Arial"/>
                <w:b/>
                <w:bCs/>
                <w:sz w:val="20"/>
                <w:szCs w:val="20"/>
              </w:rPr>
            </w:pPr>
            <w:r w:rsidRPr="00F65D85">
              <w:rPr>
                <w:rFonts w:ascii="Arial" w:eastAsia="Times New Roman" w:hAnsi="Arial" w:cs="Arial"/>
                <w:b/>
                <w:bCs/>
                <w:sz w:val="20"/>
                <w:szCs w:val="20"/>
              </w:rPr>
              <w:t>TOTAL</w:t>
            </w:r>
          </w:p>
        </w:tc>
        <w:tc>
          <w:tcPr>
            <w:tcW w:w="2012" w:type="dxa"/>
            <w:tcBorders>
              <w:top w:val="single" w:sz="4" w:space="0" w:color="auto"/>
              <w:left w:val="nil"/>
              <w:bottom w:val="single" w:sz="4" w:space="0" w:color="auto"/>
              <w:right w:val="double" w:sz="6" w:space="0" w:color="000000"/>
            </w:tcBorders>
            <w:shd w:val="clear" w:color="auto" w:fill="auto"/>
            <w:noWrap/>
            <w:vAlign w:val="bottom"/>
            <w:hideMark/>
          </w:tcPr>
          <w:p w:rsidR="00DF53B0" w:rsidRPr="00F65D85" w:rsidRDefault="00DF53B0" w:rsidP="004064AE">
            <w:pPr>
              <w:spacing w:after="0" w:line="240" w:lineRule="auto"/>
              <w:rPr>
                <w:rFonts w:ascii="Arial" w:eastAsia="Times New Roman" w:hAnsi="Arial" w:cs="Arial"/>
                <w:sz w:val="20"/>
                <w:szCs w:val="20"/>
              </w:rPr>
            </w:pPr>
            <w:r w:rsidRPr="00F65D85">
              <w:rPr>
                <w:rFonts w:ascii="Arial" w:eastAsia="Times New Roman" w:hAnsi="Arial" w:cs="Arial"/>
                <w:sz w:val="20"/>
                <w:szCs w:val="20"/>
              </w:rPr>
              <w:t xml:space="preserve"> $          3,600</w:t>
            </w:r>
          </w:p>
        </w:tc>
      </w:tr>
    </w:tbl>
    <w:p w:rsidR="00DF53B0" w:rsidRPr="00F65D85" w:rsidRDefault="00DF53B0" w:rsidP="00DF53B0">
      <w:pPr>
        <w:contextualSpacing/>
        <w:rPr>
          <w:rFonts w:ascii="Arial" w:hAnsi="Arial" w:cs="Arial"/>
          <w:sz w:val="24"/>
          <w:szCs w:val="24"/>
        </w:rPr>
      </w:pPr>
    </w:p>
    <w:p w:rsidR="00DF53B0" w:rsidRPr="00F65D85" w:rsidRDefault="00DF53B0" w:rsidP="00DF53B0">
      <w:pPr>
        <w:pStyle w:val="ListParagraph"/>
        <w:numPr>
          <w:ilvl w:val="0"/>
          <w:numId w:val="5"/>
        </w:numPr>
        <w:rPr>
          <w:rFonts w:ascii="Arial" w:hAnsi="Arial" w:cs="Arial"/>
          <w:b/>
          <w:sz w:val="24"/>
          <w:szCs w:val="24"/>
        </w:rPr>
      </w:pPr>
      <w:r w:rsidRPr="00F65D85">
        <w:rPr>
          <w:rFonts w:ascii="Arial" w:hAnsi="Arial" w:cs="Arial"/>
          <w:b/>
          <w:sz w:val="24"/>
          <w:szCs w:val="24"/>
        </w:rPr>
        <w:t>Travel:</w:t>
      </w:r>
    </w:p>
    <w:p w:rsidR="00DF53B0" w:rsidRPr="00215909" w:rsidRDefault="00DF53B0" w:rsidP="00DF53B0">
      <w:pPr>
        <w:contextualSpacing/>
        <w:rPr>
          <w:rFonts w:ascii="Arial" w:hAnsi="Arial" w:cs="Arial"/>
          <w:sz w:val="24"/>
          <w:szCs w:val="24"/>
        </w:rPr>
      </w:pPr>
      <w:r w:rsidRPr="00F65D85">
        <w:rPr>
          <w:rFonts w:ascii="Arial" w:hAnsi="Arial" w:cs="Arial"/>
          <w:sz w:val="24"/>
          <w:szCs w:val="24"/>
        </w:rPr>
        <w:t xml:space="preserve">Travel expenditures (e.g., personal car mileage, lodging, per diems, etc.) should conform to the rules and regulations for employees of New York State. </w:t>
      </w:r>
      <w:r w:rsidRPr="00F65D85">
        <w:rPr>
          <w:rFonts w:ascii="Arial" w:hAnsi="Arial" w:cs="Arial"/>
          <w:b/>
          <w:sz w:val="24"/>
          <w:szCs w:val="24"/>
        </w:rPr>
        <w:t>NOTE:</w:t>
      </w:r>
      <w:r w:rsidRPr="00F65D85">
        <w:rPr>
          <w:rFonts w:ascii="Arial" w:hAnsi="Arial" w:cs="Arial"/>
          <w:sz w:val="24"/>
          <w:szCs w:val="24"/>
        </w:rPr>
        <w:t xml:space="preserve"> Out-of-State travel is </w:t>
      </w:r>
      <w:r w:rsidRPr="00F65D85">
        <w:rPr>
          <w:rFonts w:ascii="Arial" w:hAnsi="Arial" w:cs="Arial"/>
          <w:sz w:val="24"/>
          <w:szCs w:val="24"/>
          <w:u w:val="single"/>
        </w:rPr>
        <w:t>not</w:t>
      </w:r>
      <w:r w:rsidRPr="00F65D85">
        <w:rPr>
          <w:rFonts w:ascii="Arial" w:hAnsi="Arial" w:cs="Arial"/>
          <w:sz w:val="24"/>
          <w:szCs w:val="24"/>
        </w:rPr>
        <w:t xml:space="preserve"> reimbursa</w:t>
      </w:r>
      <w:r>
        <w:rPr>
          <w:rFonts w:ascii="Arial" w:hAnsi="Arial" w:cs="Arial"/>
          <w:sz w:val="24"/>
          <w:szCs w:val="24"/>
        </w:rPr>
        <w:t xml:space="preserve">ble without prior authorization </w:t>
      </w:r>
      <w:r w:rsidRPr="00215909">
        <w:rPr>
          <w:rFonts w:ascii="Arial" w:hAnsi="Arial" w:cs="Arial"/>
          <w:sz w:val="24"/>
          <w:szCs w:val="24"/>
        </w:rPr>
        <w:t>(</w:t>
      </w:r>
      <w:r w:rsidRPr="00665B7A">
        <w:rPr>
          <w:rStyle w:val="Hyperlink"/>
          <w:rFonts w:ascii="Arial" w:hAnsi="Arial" w:cs="Arial"/>
          <w:color w:val="auto"/>
          <w:sz w:val="24"/>
          <w:szCs w:val="24"/>
        </w:rPr>
        <w:t>https://osc.state.ny.us/agencies/travel/part8.htm</w:t>
      </w:r>
      <w:r w:rsidRPr="00215909">
        <w:rPr>
          <w:rFonts w:ascii="Arial" w:hAnsi="Arial" w:cs="Arial"/>
          <w:sz w:val="24"/>
          <w:szCs w:val="24"/>
        </w:rPr>
        <w:t>).</w:t>
      </w:r>
    </w:p>
    <w:p w:rsidR="00DF53B0" w:rsidRDefault="00DF53B0" w:rsidP="00DF53B0">
      <w:pPr>
        <w:contextualSpacing/>
        <w:rPr>
          <w:rFonts w:ascii="Arial" w:hAnsi="Arial" w:cs="Arial"/>
          <w:sz w:val="24"/>
          <w:szCs w:val="24"/>
        </w:rPr>
      </w:pPr>
    </w:p>
    <w:p w:rsidR="00DF53B0" w:rsidRPr="00665B7A" w:rsidRDefault="00DF53B0" w:rsidP="00DF53B0">
      <w:pPr>
        <w:contextualSpacing/>
        <w:rPr>
          <w:rFonts w:ascii="Arial" w:hAnsi="Arial" w:cs="Arial"/>
          <w:sz w:val="24"/>
          <w:szCs w:val="24"/>
        </w:rPr>
      </w:pPr>
      <w:r w:rsidRPr="00F65D85">
        <w:rPr>
          <w:rFonts w:ascii="Arial" w:hAnsi="Arial" w:cs="Arial"/>
          <w:sz w:val="24"/>
          <w:szCs w:val="24"/>
        </w:rPr>
        <w:t>Personal Car Mileage reimbursement cannot exceed the current state rate which is determined by the published IRS rate</w:t>
      </w:r>
      <w:r>
        <w:rPr>
          <w:rFonts w:ascii="Arial" w:hAnsi="Arial" w:cs="Arial"/>
          <w:sz w:val="24"/>
          <w:szCs w:val="24"/>
        </w:rPr>
        <w:t xml:space="preserve"> (</w:t>
      </w:r>
      <w:r w:rsidRPr="00665B7A">
        <w:rPr>
          <w:rStyle w:val="Hyperlink"/>
          <w:rFonts w:ascii="Arial" w:hAnsi="Arial" w:cs="Arial"/>
          <w:color w:val="auto"/>
          <w:sz w:val="24"/>
          <w:szCs w:val="24"/>
        </w:rPr>
        <w:t>https://www.irs.gov/tax-professionals/standard-mileage-rates).</w:t>
      </w:r>
    </w:p>
    <w:p w:rsidR="00DF53B0" w:rsidRPr="00F65D85" w:rsidRDefault="00DF53B0" w:rsidP="00DF53B0">
      <w:pPr>
        <w:pStyle w:val="ListParagraph"/>
        <w:numPr>
          <w:ilvl w:val="0"/>
          <w:numId w:val="5"/>
        </w:numPr>
        <w:rPr>
          <w:rFonts w:ascii="Arial" w:hAnsi="Arial" w:cs="Arial"/>
          <w:b/>
          <w:sz w:val="24"/>
          <w:szCs w:val="24"/>
        </w:rPr>
      </w:pPr>
      <w:r w:rsidRPr="00F65D85">
        <w:rPr>
          <w:rFonts w:ascii="Arial" w:hAnsi="Arial" w:cs="Arial"/>
          <w:b/>
          <w:sz w:val="24"/>
          <w:szCs w:val="24"/>
        </w:rPr>
        <w:t>Maintenance and Operations:</w:t>
      </w:r>
    </w:p>
    <w:p w:rsidR="00DF53B0" w:rsidRPr="00F65D85" w:rsidRDefault="00DF53B0" w:rsidP="00DF53B0">
      <w:pPr>
        <w:contextualSpacing/>
        <w:rPr>
          <w:rFonts w:ascii="Arial" w:hAnsi="Arial" w:cs="Arial"/>
          <w:b/>
          <w:sz w:val="24"/>
          <w:szCs w:val="24"/>
        </w:rPr>
      </w:pPr>
      <w:r w:rsidRPr="00F65D85">
        <w:rPr>
          <w:rFonts w:ascii="Arial" w:hAnsi="Arial" w:cs="Arial"/>
          <w:sz w:val="24"/>
          <w:szCs w:val="24"/>
        </w:rPr>
        <w:t xml:space="preserve">Expenditures necessary for the maintenance and operations of the buildings and office space should be included.  </w:t>
      </w:r>
    </w:p>
    <w:p w:rsidR="00DF53B0" w:rsidRDefault="00DF53B0" w:rsidP="00DF53B0">
      <w:pPr>
        <w:contextualSpacing/>
        <w:rPr>
          <w:rFonts w:ascii="Arial" w:hAnsi="Arial" w:cs="Arial"/>
          <w:b/>
          <w:sz w:val="24"/>
          <w:szCs w:val="24"/>
        </w:rPr>
      </w:pPr>
    </w:p>
    <w:p w:rsidR="00DF53B0" w:rsidRPr="00F65D85" w:rsidRDefault="00DF53B0" w:rsidP="00DF53B0">
      <w:pPr>
        <w:contextualSpacing/>
        <w:rPr>
          <w:rFonts w:ascii="Arial" w:hAnsi="Arial" w:cs="Arial"/>
          <w:sz w:val="24"/>
          <w:szCs w:val="24"/>
        </w:rPr>
      </w:pPr>
      <w:r w:rsidRPr="00F65D85">
        <w:rPr>
          <w:rFonts w:ascii="Arial" w:hAnsi="Arial" w:cs="Arial"/>
          <w:b/>
          <w:sz w:val="24"/>
          <w:szCs w:val="24"/>
        </w:rPr>
        <w:t>Rent/Utilities:</w:t>
      </w:r>
      <w:r w:rsidRPr="00F65D85">
        <w:rPr>
          <w:rFonts w:ascii="Arial" w:hAnsi="Arial" w:cs="Arial"/>
          <w:sz w:val="24"/>
          <w:szCs w:val="24"/>
        </w:rPr>
        <w:t xml:space="preserve">  Actual contractor cash expenditures for costs of space rental, utilities, security, necessary maintenance, janitorial services, repair or upkeep of buildings and equipment are allowable. Rental agreements must be submitted for NYSOFA review.</w:t>
      </w:r>
    </w:p>
    <w:p w:rsidR="00DF53B0" w:rsidRDefault="00DF53B0" w:rsidP="00DF53B0">
      <w:pPr>
        <w:spacing w:before="100" w:beforeAutospacing="1" w:after="100" w:afterAutospacing="1"/>
        <w:contextualSpacing/>
        <w:rPr>
          <w:rFonts w:ascii="Arial" w:hAnsi="Arial" w:cs="Arial"/>
          <w:b/>
          <w:sz w:val="24"/>
          <w:szCs w:val="24"/>
        </w:rPr>
      </w:pPr>
    </w:p>
    <w:p w:rsidR="00DF53B0" w:rsidRPr="00F65D85" w:rsidRDefault="00DF53B0" w:rsidP="00DF53B0">
      <w:pPr>
        <w:contextualSpacing/>
        <w:rPr>
          <w:rFonts w:ascii="Arial" w:hAnsi="Arial" w:cs="Arial"/>
          <w:sz w:val="24"/>
          <w:szCs w:val="24"/>
        </w:rPr>
      </w:pPr>
      <w:r w:rsidRPr="00F65D85">
        <w:rPr>
          <w:rFonts w:ascii="Arial" w:hAnsi="Arial" w:cs="Arial"/>
          <w:sz w:val="24"/>
          <w:szCs w:val="24"/>
        </w:rPr>
        <w:t>Maintenance &amp; Operations also includes telephone, postage, supplies (which may include office, program and maintenance supplies) and printing/photocopying.</w:t>
      </w:r>
    </w:p>
    <w:p w:rsidR="00DF53B0" w:rsidRDefault="00DF53B0" w:rsidP="00DF53B0">
      <w:pPr>
        <w:contextualSpacing/>
        <w:rPr>
          <w:rFonts w:ascii="Arial" w:hAnsi="Arial" w:cs="Arial"/>
          <w:b/>
          <w:sz w:val="24"/>
          <w:szCs w:val="24"/>
        </w:rPr>
      </w:pPr>
    </w:p>
    <w:p w:rsidR="00DF53B0" w:rsidRPr="00F65D85" w:rsidRDefault="00DF53B0" w:rsidP="00DF53B0">
      <w:pPr>
        <w:contextualSpacing/>
        <w:rPr>
          <w:rFonts w:ascii="Arial" w:hAnsi="Arial" w:cs="Arial"/>
          <w:sz w:val="24"/>
          <w:szCs w:val="24"/>
        </w:rPr>
      </w:pPr>
      <w:r w:rsidRPr="00F65D85">
        <w:rPr>
          <w:rFonts w:ascii="Arial" w:hAnsi="Arial" w:cs="Arial"/>
          <w:b/>
          <w:sz w:val="24"/>
          <w:szCs w:val="24"/>
        </w:rPr>
        <w:t>Supplies</w:t>
      </w:r>
      <w:r w:rsidRPr="00F65D85">
        <w:rPr>
          <w:rFonts w:ascii="Arial" w:hAnsi="Arial" w:cs="Arial"/>
          <w:sz w:val="24"/>
          <w:szCs w:val="24"/>
        </w:rPr>
        <w:t xml:space="preserve">: Items such as copy paper, pens, pencils, folders, etc., </w:t>
      </w:r>
      <w:r>
        <w:rPr>
          <w:rFonts w:ascii="Arial" w:hAnsi="Arial" w:cs="Arial"/>
          <w:sz w:val="24"/>
          <w:szCs w:val="24"/>
        </w:rPr>
        <w:t>should</w:t>
      </w:r>
      <w:r w:rsidRPr="00F65D85">
        <w:rPr>
          <w:rFonts w:ascii="Arial" w:hAnsi="Arial" w:cs="Arial"/>
          <w:sz w:val="24"/>
          <w:szCs w:val="24"/>
        </w:rPr>
        <w:t xml:space="preserve"> be grouped together and listed </w:t>
      </w:r>
      <w:r>
        <w:rPr>
          <w:rFonts w:ascii="Arial" w:hAnsi="Arial" w:cs="Arial"/>
          <w:sz w:val="24"/>
          <w:szCs w:val="24"/>
        </w:rPr>
        <w:t>under Supplies.</w:t>
      </w:r>
      <w:r w:rsidRPr="00F65D85">
        <w:rPr>
          <w:rFonts w:ascii="Arial" w:hAnsi="Arial" w:cs="Arial"/>
          <w:sz w:val="24"/>
          <w:szCs w:val="24"/>
        </w:rPr>
        <w:t xml:space="preserve"> Transportation and delivery charges are chargeable as part of supplies costs. </w:t>
      </w:r>
    </w:p>
    <w:p w:rsidR="00DF53B0" w:rsidRDefault="00DF53B0" w:rsidP="00DF53B0">
      <w:pPr>
        <w:contextualSpacing/>
        <w:rPr>
          <w:rFonts w:ascii="Arial" w:hAnsi="Arial" w:cs="Arial"/>
          <w:b/>
          <w:sz w:val="24"/>
          <w:szCs w:val="24"/>
        </w:rPr>
      </w:pPr>
    </w:p>
    <w:p w:rsidR="00DF53B0" w:rsidRPr="00F65D85" w:rsidRDefault="00DF53B0" w:rsidP="00DF53B0">
      <w:pPr>
        <w:contextualSpacing/>
        <w:rPr>
          <w:rFonts w:ascii="Arial" w:hAnsi="Arial" w:cs="Arial"/>
          <w:sz w:val="24"/>
          <w:szCs w:val="24"/>
        </w:rPr>
      </w:pPr>
      <w:r w:rsidRPr="00F65D85">
        <w:rPr>
          <w:rFonts w:ascii="Arial" w:hAnsi="Arial" w:cs="Arial"/>
          <w:b/>
          <w:sz w:val="24"/>
          <w:szCs w:val="24"/>
        </w:rPr>
        <w:lastRenderedPageBreak/>
        <w:t xml:space="preserve">Printing and photocopying:  </w:t>
      </w:r>
      <w:r w:rsidRPr="00F65D85">
        <w:rPr>
          <w:rFonts w:ascii="Arial" w:hAnsi="Arial" w:cs="Arial"/>
          <w:sz w:val="24"/>
          <w:szCs w:val="24"/>
        </w:rPr>
        <w:t>Informational and promotional materials for your program (brochures, posters, banners) are acceptable expenses. However, pursuant to the Standard Terms and Conditions of your contract, these items must be consistent with state branding and contain acknowledgment language, e.g.: “This program is supported with State Funding provided through the New York State Office for the Aging.”</w:t>
      </w:r>
    </w:p>
    <w:p w:rsidR="00DF53B0" w:rsidRPr="00F65D85" w:rsidRDefault="00DF53B0" w:rsidP="00DF53B0">
      <w:pPr>
        <w:pStyle w:val="ListParagraph"/>
        <w:numPr>
          <w:ilvl w:val="0"/>
          <w:numId w:val="5"/>
        </w:numPr>
        <w:rPr>
          <w:rFonts w:ascii="Arial" w:hAnsi="Arial" w:cs="Arial"/>
          <w:b/>
          <w:sz w:val="24"/>
          <w:szCs w:val="24"/>
        </w:rPr>
      </w:pPr>
      <w:r w:rsidRPr="00F65D85">
        <w:rPr>
          <w:rFonts w:ascii="Arial" w:hAnsi="Arial" w:cs="Arial"/>
          <w:b/>
          <w:sz w:val="24"/>
          <w:szCs w:val="24"/>
        </w:rPr>
        <w:t xml:space="preserve">Other Expenses: </w:t>
      </w:r>
    </w:p>
    <w:p w:rsidR="00DF53B0" w:rsidRPr="00F65D85" w:rsidRDefault="00DF53B0" w:rsidP="00DF53B0">
      <w:pPr>
        <w:contextualSpacing/>
        <w:rPr>
          <w:rFonts w:ascii="Arial" w:hAnsi="Arial" w:cs="Arial"/>
          <w:sz w:val="24"/>
          <w:szCs w:val="24"/>
        </w:rPr>
      </w:pPr>
      <w:r w:rsidRPr="00F65D85">
        <w:rPr>
          <w:rFonts w:ascii="Arial" w:hAnsi="Arial" w:cs="Arial"/>
          <w:sz w:val="24"/>
          <w:szCs w:val="24"/>
        </w:rPr>
        <w:t>This category covers all expenditures that do not fit under other budget categories. These are generally annual or one-time types of costs that can include, but are not limited to:</w:t>
      </w:r>
    </w:p>
    <w:p w:rsidR="00DF53B0" w:rsidRPr="00F65D85" w:rsidRDefault="00DF53B0" w:rsidP="00DF53B0">
      <w:pPr>
        <w:pStyle w:val="ListParagraph"/>
        <w:numPr>
          <w:ilvl w:val="0"/>
          <w:numId w:val="6"/>
        </w:numPr>
        <w:rPr>
          <w:rFonts w:ascii="Arial" w:hAnsi="Arial" w:cs="Arial"/>
          <w:sz w:val="24"/>
          <w:szCs w:val="24"/>
        </w:rPr>
      </w:pPr>
      <w:r w:rsidRPr="00F65D85">
        <w:rPr>
          <w:rFonts w:ascii="Arial" w:hAnsi="Arial" w:cs="Arial"/>
          <w:sz w:val="24"/>
          <w:szCs w:val="24"/>
        </w:rPr>
        <w:t xml:space="preserve">Annual financial audit (the audit must be conducted </w:t>
      </w:r>
      <w:r w:rsidRPr="00F65D85">
        <w:rPr>
          <w:rFonts w:ascii="Arial" w:hAnsi="Arial" w:cs="Arial"/>
          <w:sz w:val="24"/>
          <w:szCs w:val="24"/>
          <w:u w:val="single"/>
        </w:rPr>
        <w:t>during</w:t>
      </w:r>
      <w:r w:rsidRPr="00F65D85">
        <w:rPr>
          <w:rFonts w:ascii="Arial" w:hAnsi="Arial" w:cs="Arial"/>
          <w:sz w:val="24"/>
          <w:szCs w:val="24"/>
        </w:rPr>
        <w:t xml:space="preserve"> the program period)</w:t>
      </w:r>
      <w:r>
        <w:rPr>
          <w:rFonts w:ascii="Arial" w:hAnsi="Arial" w:cs="Arial"/>
          <w:sz w:val="24"/>
          <w:szCs w:val="24"/>
        </w:rPr>
        <w:t>;</w:t>
      </w:r>
    </w:p>
    <w:p w:rsidR="00DF53B0" w:rsidRDefault="00DF53B0" w:rsidP="00DF53B0">
      <w:pPr>
        <w:pStyle w:val="ListParagraph"/>
        <w:numPr>
          <w:ilvl w:val="0"/>
          <w:numId w:val="6"/>
        </w:numPr>
        <w:rPr>
          <w:rFonts w:ascii="Arial" w:hAnsi="Arial" w:cs="Arial"/>
          <w:sz w:val="24"/>
          <w:szCs w:val="24"/>
        </w:rPr>
      </w:pPr>
      <w:r w:rsidRPr="00F65D85">
        <w:rPr>
          <w:rFonts w:ascii="Arial" w:hAnsi="Arial" w:cs="Arial"/>
          <w:sz w:val="24"/>
          <w:szCs w:val="24"/>
        </w:rPr>
        <w:t xml:space="preserve">Liability Insurance (costs must be incurred </w:t>
      </w:r>
      <w:r w:rsidRPr="00F65D85">
        <w:rPr>
          <w:rFonts w:ascii="Arial" w:hAnsi="Arial" w:cs="Arial"/>
          <w:sz w:val="24"/>
          <w:szCs w:val="24"/>
          <w:u w:val="single"/>
        </w:rPr>
        <w:t>during</w:t>
      </w:r>
      <w:r w:rsidRPr="00F65D85">
        <w:rPr>
          <w:rFonts w:ascii="Arial" w:hAnsi="Arial" w:cs="Arial"/>
          <w:sz w:val="24"/>
          <w:szCs w:val="24"/>
        </w:rPr>
        <w:t xml:space="preserve"> the program</w:t>
      </w:r>
      <w:r>
        <w:rPr>
          <w:rFonts w:ascii="Arial" w:hAnsi="Arial" w:cs="Arial"/>
          <w:sz w:val="24"/>
          <w:szCs w:val="24"/>
        </w:rPr>
        <w:t xml:space="preserve"> period);</w:t>
      </w:r>
    </w:p>
    <w:p w:rsidR="00DF53B0" w:rsidRPr="00F65D85" w:rsidRDefault="00DF53B0" w:rsidP="00DF53B0">
      <w:pPr>
        <w:pStyle w:val="ListParagraph"/>
        <w:numPr>
          <w:ilvl w:val="0"/>
          <w:numId w:val="6"/>
        </w:numPr>
        <w:rPr>
          <w:rFonts w:ascii="Arial" w:hAnsi="Arial" w:cs="Arial"/>
          <w:sz w:val="24"/>
          <w:szCs w:val="24"/>
        </w:rPr>
      </w:pPr>
      <w:r w:rsidRPr="00F65D85">
        <w:rPr>
          <w:rFonts w:ascii="Arial" w:hAnsi="Arial" w:cs="Arial"/>
          <w:sz w:val="24"/>
          <w:szCs w:val="24"/>
        </w:rPr>
        <w:t>Memberships and subscriptions</w:t>
      </w:r>
      <w:r>
        <w:rPr>
          <w:rFonts w:ascii="Arial" w:hAnsi="Arial" w:cs="Arial"/>
          <w:sz w:val="24"/>
          <w:szCs w:val="24"/>
        </w:rPr>
        <w:t>;</w:t>
      </w:r>
    </w:p>
    <w:p w:rsidR="00DF53B0" w:rsidRPr="00F65D85" w:rsidRDefault="00DF53B0" w:rsidP="00DF53B0">
      <w:pPr>
        <w:pStyle w:val="ListParagraph"/>
        <w:numPr>
          <w:ilvl w:val="0"/>
          <w:numId w:val="6"/>
        </w:numPr>
        <w:rPr>
          <w:rFonts w:ascii="Arial" w:hAnsi="Arial" w:cs="Arial"/>
          <w:sz w:val="24"/>
          <w:szCs w:val="24"/>
        </w:rPr>
      </w:pPr>
      <w:r>
        <w:rPr>
          <w:rFonts w:ascii="Arial" w:hAnsi="Arial" w:cs="Arial"/>
          <w:sz w:val="24"/>
          <w:szCs w:val="24"/>
        </w:rPr>
        <w:t>Promotional materials;</w:t>
      </w:r>
    </w:p>
    <w:p w:rsidR="00DF53B0" w:rsidRPr="00F65D85" w:rsidRDefault="00DF53B0" w:rsidP="00DF53B0">
      <w:pPr>
        <w:pStyle w:val="ListParagraph"/>
        <w:numPr>
          <w:ilvl w:val="0"/>
          <w:numId w:val="6"/>
        </w:numPr>
        <w:rPr>
          <w:rFonts w:ascii="Arial" w:hAnsi="Arial" w:cs="Arial"/>
          <w:sz w:val="24"/>
          <w:szCs w:val="24"/>
        </w:rPr>
      </w:pPr>
      <w:r w:rsidRPr="00F65D85">
        <w:rPr>
          <w:rFonts w:ascii="Arial" w:hAnsi="Arial" w:cs="Arial"/>
          <w:sz w:val="24"/>
          <w:szCs w:val="24"/>
        </w:rPr>
        <w:t>Information technology</w:t>
      </w:r>
      <w:r>
        <w:rPr>
          <w:rFonts w:ascii="Arial" w:hAnsi="Arial" w:cs="Arial"/>
          <w:sz w:val="24"/>
          <w:szCs w:val="24"/>
        </w:rPr>
        <w:t>;</w:t>
      </w:r>
      <w:r w:rsidRPr="00F65D85">
        <w:rPr>
          <w:rFonts w:ascii="Arial" w:hAnsi="Arial" w:cs="Arial"/>
          <w:sz w:val="24"/>
          <w:szCs w:val="24"/>
        </w:rPr>
        <w:t xml:space="preserve"> </w:t>
      </w:r>
    </w:p>
    <w:p w:rsidR="00DF53B0" w:rsidRPr="00F65D85" w:rsidRDefault="00DF53B0" w:rsidP="00DF53B0">
      <w:pPr>
        <w:pStyle w:val="ListParagraph"/>
        <w:numPr>
          <w:ilvl w:val="0"/>
          <w:numId w:val="6"/>
        </w:numPr>
        <w:rPr>
          <w:rFonts w:ascii="Arial" w:hAnsi="Arial" w:cs="Arial"/>
          <w:sz w:val="24"/>
          <w:szCs w:val="24"/>
        </w:rPr>
      </w:pPr>
      <w:r w:rsidRPr="00F65D85">
        <w:rPr>
          <w:rFonts w:ascii="Arial" w:hAnsi="Arial" w:cs="Arial"/>
          <w:sz w:val="24"/>
          <w:szCs w:val="24"/>
        </w:rPr>
        <w:t>Language access services</w:t>
      </w:r>
      <w:r>
        <w:rPr>
          <w:rFonts w:ascii="Arial" w:hAnsi="Arial" w:cs="Arial"/>
          <w:sz w:val="24"/>
          <w:szCs w:val="24"/>
        </w:rPr>
        <w:t>;</w:t>
      </w:r>
    </w:p>
    <w:p w:rsidR="00DF53B0" w:rsidRPr="00F65D85" w:rsidRDefault="00DF53B0" w:rsidP="00DF53B0">
      <w:pPr>
        <w:pStyle w:val="ListParagraph"/>
        <w:numPr>
          <w:ilvl w:val="0"/>
          <w:numId w:val="6"/>
        </w:numPr>
        <w:rPr>
          <w:rFonts w:ascii="Arial" w:hAnsi="Arial" w:cs="Arial"/>
          <w:sz w:val="24"/>
          <w:szCs w:val="24"/>
        </w:rPr>
      </w:pPr>
      <w:r w:rsidRPr="00F65D85">
        <w:rPr>
          <w:rFonts w:ascii="Arial" w:hAnsi="Arial" w:cs="Arial"/>
          <w:sz w:val="24"/>
          <w:szCs w:val="24"/>
        </w:rPr>
        <w:t>Reasonable accommodation items</w:t>
      </w:r>
      <w:r>
        <w:rPr>
          <w:rFonts w:ascii="Arial" w:hAnsi="Arial" w:cs="Arial"/>
          <w:sz w:val="24"/>
          <w:szCs w:val="24"/>
        </w:rPr>
        <w:t>;</w:t>
      </w:r>
    </w:p>
    <w:p w:rsidR="00DF53B0" w:rsidRDefault="00DF53B0" w:rsidP="00DF53B0">
      <w:pPr>
        <w:pStyle w:val="ListParagraph"/>
        <w:numPr>
          <w:ilvl w:val="0"/>
          <w:numId w:val="6"/>
        </w:numPr>
        <w:rPr>
          <w:rFonts w:ascii="Arial" w:hAnsi="Arial" w:cs="Arial"/>
          <w:sz w:val="24"/>
          <w:szCs w:val="24"/>
        </w:rPr>
      </w:pPr>
      <w:r w:rsidRPr="00F65D85">
        <w:rPr>
          <w:rFonts w:ascii="Arial" w:hAnsi="Arial" w:cs="Arial"/>
          <w:sz w:val="24"/>
          <w:szCs w:val="24"/>
        </w:rPr>
        <w:t xml:space="preserve">Food (except meals provided by a subcontractor, which should appear in the </w:t>
      </w:r>
      <w:r w:rsidRPr="00F65D85">
        <w:rPr>
          <w:rFonts w:ascii="Arial" w:hAnsi="Arial" w:cs="Arial"/>
          <w:b/>
          <w:sz w:val="24"/>
          <w:szCs w:val="24"/>
        </w:rPr>
        <w:t>Subcontractors/Consultants</w:t>
      </w:r>
      <w:r w:rsidRPr="00F65D85">
        <w:rPr>
          <w:rFonts w:ascii="Arial" w:hAnsi="Arial" w:cs="Arial"/>
          <w:sz w:val="24"/>
          <w:szCs w:val="24"/>
        </w:rPr>
        <w:t xml:space="preserve"> </w:t>
      </w:r>
      <w:r w:rsidR="00665B7A">
        <w:rPr>
          <w:rFonts w:ascii="Arial" w:hAnsi="Arial" w:cs="Arial"/>
          <w:sz w:val="24"/>
          <w:szCs w:val="24"/>
        </w:rPr>
        <w:t>category</w:t>
      </w:r>
      <w:r w:rsidRPr="00F65D85">
        <w:rPr>
          <w:rFonts w:ascii="Arial" w:hAnsi="Arial" w:cs="Arial"/>
          <w:sz w:val="24"/>
          <w:szCs w:val="24"/>
        </w:rPr>
        <w:t>)</w:t>
      </w:r>
      <w:r>
        <w:rPr>
          <w:rFonts w:ascii="Arial" w:hAnsi="Arial" w:cs="Arial"/>
          <w:sz w:val="24"/>
          <w:szCs w:val="24"/>
        </w:rPr>
        <w:t>; and</w:t>
      </w:r>
    </w:p>
    <w:p w:rsidR="00DF53B0" w:rsidRPr="004864B2" w:rsidRDefault="00DF53B0" w:rsidP="00DF53B0">
      <w:pPr>
        <w:pStyle w:val="ListParagraph"/>
        <w:numPr>
          <w:ilvl w:val="0"/>
          <w:numId w:val="6"/>
        </w:numPr>
        <w:rPr>
          <w:rFonts w:ascii="Arial" w:hAnsi="Arial" w:cs="Arial"/>
          <w:sz w:val="24"/>
          <w:szCs w:val="24"/>
        </w:rPr>
      </w:pPr>
      <w:r w:rsidRPr="004864B2">
        <w:rPr>
          <w:rFonts w:ascii="Arial" w:hAnsi="Arial" w:cs="Arial"/>
          <w:sz w:val="24"/>
          <w:szCs w:val="24"/>
        </w:rPr>
        <w:t xml:space="preserve">Administrative or indirect costs are costs that </w:t>
      </w:r>
      <w:r w:rsidRPr="004864B2">
        <w:rPr>
          <w:rFonts w:ascii="Arial" w:eastAsia="Times New Roman" w:hAnsi="Arial" w:cs="Arial"/>
          <w:sz w:val="24"/>
          <w:szCs w:val="24"/>
        </w:rPr>
        <w:t>cannot easily be associated with service activities but relate to the development and management of the organization.  These costs are allowable if the grantee is</w:t>
      </w:r>
      <w:r w:rsidRPr="004864B2">
        <w:rPr>
          <w:rFonts w:ascii="Arial" w:hAnsi="Arial" w:cs="Arial"/>
          <w:sz w:val="24"/>
          <w:szCs w:val="24"/>
        </w:rPr>
        <w:t xml:space="preserve"> using an indirect cost rate based on financial documentation that has been preapproved by NYSOFA or another governmental agency (e.g., DHHS). The use of a </w:t>
      </w:r>
      <w:r>
        <w:rPr>
          <w:rFonts w:ascii="Arial" w:hAnsi="Arial" w:cs="Arial"/>
          <w:sz w:val="24"/>
          <w:szCs w:val="24"/>
        </w:rPr>
        <w:t xml:space="preserve">federally approved </w:t>
      </w:r>
      <w:r w:rsidRPr="004864B2">
        <w:rPr>
          <w:rFonts w:ascii="Arial" w:hAnsi="Arial" w:cs="Arial"/>
          <w:sz w:val="24"/>
          <w:szCs w:val="24"/>
        </w:rPr>
        <w:t>de minimis rate is not acceptable</w:t>
      </w:r>
      <w:r>
        <w:rPr>
          <w:rFonts w:ascii="Arial" w:hAnsi="Arial" w:cs="Arial"/>
          <w:sz w:val="24"/>
          <w:szCs w:val="24"/>
        </w:rPr>
        <w:t>.</w:t>
      </w:r>
      <w:r w:rsidRPr="004864B2">
        <w:rPr>
          <w:rFonts w:ascii="Arial" w:eastAsia="Times New Roman" w:hAnsi="Arial" w:cs="Arial"/>
          <w:sz w:val="24"/>
          <w:szCs w:val="24"/>
        </w:rPr>
        <w:t xml:space="preserve"> </w:t>
      </w:r>
    </w:p>
    <w:p w:rsidR="00DF53B0" w:rsidRPr="00F65D85" w:rsidRDefault="00DF53B0" w:rsidP="00DF53B0">
      <w:pPr>
        <w:contextualSpacing/>
        <w:rPr>
          <w:rFonts w:ascii="Arial" w:eastAsia="Times New Roman" w:hAnsi="Arial" w:cs="Arial"/>
          <w:b/>
          <w:sz w:val="24"/>
          <w:szCs w:val="24"/>
        </w:rPr>
      </w:pPr>
      <w:r w:rsidRPr="00F65D85">
        <w:rPr>
          <w:rFonts w:ascii="Arial" w:eastAsia="Times New Roman" w:hAnsi="Arial" w:cs="Arial"/>
          <w:b/>
          <w:sz w:val="24"/>
          <w:szCs w:val="24"/>
        </w:rPr>
        <w:t xml:space="preserve">Caution: </w:t>
      </w:r>
      <w:r w:rsidRPr="00F65D85">
        <w:rPr>
          <w:rFonts w:ascii="Arial" w:eastAsia="Times New Roman" w:hAnsi="Arial" w:cs="Arial"/>
          <w:sz w:val="24"/>
          <w:szCs w:val="24"/>
        </w:rPr>
        <w:t xml:space="preserve"> Any</w:t>
      </w:r>
      <w:r w:rsidRPr="00F65D85">
        <w:rPr>
          <w:rFonts w:ascii="Arial" w:eastAsia="Times New Roman" w:hAnsi="Arial" w:cs="Arial"/>
          <w:b/>
          <w:sz w:val="24"/>
          <w:szCs w:val="24"/>
        </w:rPr>
        <w:t xml:space="preserve"> </w:t>
      </w:r>
      <w:r w:rsidRPr="00F65D85">
        <w:rPr>
          <w:rFonts w:ascii="Arial" w:eastAsia="Times New Roman" w:hAnsi="Arial" w:cs="Arial"/>
          <w:sz w:val="24"/>
          <w:szCs w:val="24"/>
        </w:rPr>
        <w:t xml:space="preserve">cost included in an indirect cost rate cannot also be budgeted as a specific line item expense. If your Executive Director’s salary is part of your indirect cost </w:t>
      </w:r>
      <w:r>
        <w:rPr>
          <w:rFonts w:ascii="Arial" w:eastAsia="Times New Roman" w:hAnsi="Arial" w:cs="Arial"/>
          <w:sz w:val="24"/>
          <w:szCs w:val="24"/>
        </w:rPr>
        <w:t>pool</w:t>
      </w:r>
      <w:r w:rsidRPr="00F65D85">
        <w:rPr>
          <w:rFonts w:ascii="Arial" w:eastAsia="Times New Roman" w:hAnsi="Arial" w:cs="Arial"/>
          <w:sz w:val="24"/>
          <w:szCs w:val="24"/>
        </w:rPr>
        <w:t>, the Executive Director’s salary cannot also be included under Personnel.</w:t>
      </w:r>
    </w:p>
    <w:p w:rsidR="00DF53B0" w:rsidRDefault="00DF53B0" w:rsidP="00DF53B0">
      <w:pPr>
        <w:spacing w:before="100" w:beforeAutospacing="1" w:after="100" w:afterAutospacing="1"/>
        <w:contextualSpacing/>
        <w:rPr>
          <w:rFonts w:ascii="Arial" w:eastAsia="Times New Roman" w:hAnsi="Arial" w:cs="Arial"/>
          <w:sz w:val="24"/>
          <w:szCs w:val="24"/>
          <w:u w:val="single"/>
        </w:rPr>
      </w:pPr>
    </w:p>
    <w:p w:rsidR="00DF53B0" w:rsidRPr="00F65D85" w:rsidRDefault="00DF53B0" w:rsidP="00DF53B0">
      <w:pPr>
        <w:spacing w:before="100" w:beforeAutospacing="1" w:after="100" w:afterAutospacing="1"/>
        <w:contextualSpacing/>
        <w:rPr>
          <w:rFonts w:ascii="Arial" w:eastAsia="Times New Roman" w:hAnsi="Arial" w:cs="Arial"/>
          <w:sz w:val="24"/>
          <w:szCs w:val="24"/>
        </w:rPr>
      </w:pPr>
      <w:r w:rsidRPr="00F65D85">
        <w:rPr>
          <w:rFonts w:ascii="Arial" w:eastAsia="Times New Roman" w:hAnsi="Arial" w:cs="Arial"/>
          <w:sz w:val="24"/>
          <w:szCs w:val="24"/>
          <w:u w:val="single"/>
        </w:rPr>
        <w:t>Indirect cost rates must be approved in advance by NYSOFA.</w:t>
      </w:r>
      <w:r w:rsidRPr="00F65D85">
        <w:rPr>
          <w:rFonts w:ascii="Arial" w:eastAsia="Times New Roman" w:hAnsi="Arial" w:cs="Arial"/>
          <w:sz w:val="24"/>
          <w:szCs w:val="24"/>
        </w:rPr>
        <w:t xml:space="preserve"> If a grantee organization utilizes a federally approved indirect cost rate</w:t>
      </w:r>
      <w:r>
        <w:rPr>
          <w:rFonts w:ascii="Arial" w:eastAsia="Times New Roman" w:hAnsi="Arial" w:cs="Arial"/>
          <w:sz w:val="24"/>
          <w:szCs w:val="24"/>
        </w:rPr>
        <w:t xml:space="preserve"> that is based on financial data</w:t>
      </w:r>
      <w:r w:rsidRPr="00F65D85">
        <w:rPr>
          <w:rFonts w:ascii="Arial" w:eastAsia="Times New Roman" w:hAnsi="Arial" w:cs="Arial"/>
          <w:sz w:val="24"/>
          <w:szCs w:val="24"/>
        </w:rPr>
        <w:t xml:space="preserve">, then submission of a copy of the authorization or rate approval from the appropriate Federal agency (e.g., DHHS) is usually sufficient documentation for NYSOFA. </w:t>
      </w:r>
    </w:p>
    <w:p w:rsidR="00DF53B0" w:rsidRDefault="00DF53B0" w:rsidP="00DF53B0">
      <w:pPr>
        <w:spacing w:before="100" w:beforeAutospacing="1" w:after="100" w:afterAutospacing="1"/>
        <w:contextualSpacing/>
        <w:rPr>
          <w:rFonts w:ascii="Arial" w:eastAsia="Times New Roman" w:hAnsi="Arial" w:cs="Arial"/>
          <w:sz w:val="24"/>
          <w:szCs w:val="24"/>
        </w:rPr>
      </w:pPr>
    </w:p>
    <w:p w:rsidR="00DF53B0" w:rsidRPr="00F65D85" w:rsidRDefault="00DF53B0" w:rsidP="00DF53B0">
      <w:pPr>
        <w:spacing w:before="100" w:beforeAutospacing="1" w:after="100" w:afterAutospacing="1"/>
        <w:contextualSpacing/>
        <w:rPr>
          <w:rFonts w:ascii="Arial" w:eastAsia="Times New Roman" w:hAnsi="Arial" w:cs="Arial"/>
          <w:sz w:val="24"/>
          <w:szCs w:val="24"/>
        </w:rPr>
      </w:pPr>
      <w:r w:rsidRPr="00F65D85">
        <w:rPr>
          <w:rFonts w:ascii="Arial" w:eastAsia="Times New Roman" w:hAnsi="Arial" w:cs="Arial"/>
          <w:sz w:val="24"/>
          <w:szCs w:val="24"/>
        </w:rPr>
        <w:t xml:space="preserve">If a grantee organization does not have a federally approved indirect cost rate, they can submit an indirect cost rate request to NYSOFA for approval. As part of the request, the grantee must submit documentation used to determine the rate. The most recent audited financial statements must be used as part of this documentation. A breakdown of all expenses by category as well as a comparison of the total direct costs and the total indirect costs must also be provided (the Statement of Functional Expenses from your organization’s most recent audited financial statements). The indirect cost rate </w:t>
      </w:r>
      <w:r w:rsidRPr="00F65D85">
        <w:rPr>
          <w:rFonts w:ascii="Arial" w:eastAsia="Times New Roman" w:hAnsi="Arial" w:cs="Arial"/>
          <w:sz w:val="24"/>
          <w:szCs w:val="24"/>
        </w:rPr>
        <w:lastRenderedPageBreak/>
        <w:t>requested should be calculated by dividing the total indirect costs by the total direct costs. Costs that are not allowable as direct costs (e.g., building depreciation, interest, fines, penalties, contributions) are not allowable as indirect costs</w:t>
      </w:r>
      <w:r>
        <w:rPr>
          <w:rFonts w:ascii="Arial" w:eastAsia="Times New Roman" w:hAnsi="Arial" w:cs="Arial"/>
          <w:sz w:val="24"/>
          <w:szCs w:val="24"/>
        </w:rPr>
        <w:t>, and must be excluded from the rate calculation</w:t>
      </w:r>
      <w:r w:rsidRPr="00F65D85">
        <w:rPr>
          <w:rFonts w:ascii="Arial" w:eastAsia="Times New Roman" w:hAnsi="Arial" w:cs="Arial"/>
          <w:sz w:val="24"/>
          <w:szCs w:val="24"/>
        </w:rPr>
        <w:t>.</w:t>
      </w:r>
    </w:p>
    <w:p w:rsidR="00DF53B0" w:rsidRDefault="00DF53B0" w:rsidP="00DF53B0">
      <w:pPr>
        <w:spacing w:before="100" w:beforeAutospacing="1" w:after="100" w:afterAutospacing="1"/>
        <w:contextualSpacing/>
        <w:rPr>
          <w:rFonts w:ascii="Arial" w:eastAsia="Times New Roman" w:hAnsi="Arial" w:cs="Arial"/>
          <w:sz w:val="24"/>
          <w:szCs w:val="24"/>
        </w:rPr>
      </w:pPr>
    </w:p>
    <w:p w:rsidR="00DF53B0" w:rsidRPr="00F65D85" w:rsidRDefault="00DF53B0" w:rsidP="00DF53B0">
      <w:pPr>
        <w:spacing w:before="100" w:beforeAutospacing="1" w:after="100" w:afterAutospacing="1"/>
        <w:contextualSpacing/>
        <w:rPr>
          <w:rFonts w:ascii="Arial" w:eastAsia="Times New Roman" w:hAnsi="Arial" w:cs="Arial"/>
          <w:b/>
          <w:sz w:val="24"/>
          <w:szCs w:val="24"/>
        </w:rPr>
      </w:pPr>
      <w:r w:rsidRPr="00F65D85">
        <w:rPr>
          <w:rFonts w:ascii="Arial" w:eastAsia="Times New Roman" w:hAnsi="Arial" w:cs="Arial"/>
          <w:sz w:val="24"/>
          <w:szCs w:val="24"/>
        </w:rPr>
        <w:t xml:space="preserve">Once the required documentation has been submitted, an indirect cost rate will be approved by NYSOFA for use by the grantee. However, please remember that </w:t>
      </w:r>
      <w:r w:rsidRPr="00F65D85">
        <w:rPr>
          <w:rFonts w:ascii="Arial" w:hAnsi="Arial" w:cs="Arial"/>
          <w:b/>
          <w:sz w:val="24"/>
          <w:szCs w:val="24"/>
          <w:u w:val="single"/>
        </w:rPr>
        <w:t>NYSOFA requires contractors to expend at least 85 percent of the funding on service costs.</w:t>
      </w:r>
      <w:r w:rsidRPr="00F65D85">
        <w:rPr>
          <w:rFonts w:ascii="Arial" w:hAnsi="Arial" w:cs="Arial"/>
          <w:b/>
          <w:sz w:val="24"/>
          <w:szCs w:val="24"/>
        </w:rPr>
        <w:t xml:space="preserve"> </w:t>
      </w:r>
      <w:r>
        <w:rPr>
          <w:rFonts w:ascii="Arial" w:hAnsi="Arial" w:cs="Arial"/>
          <w:b/>
          <w:sz w:val="24"/>
          <w:szCs w:val="24"/>
        </w:rPr>
        <w:t xml:space="preserve"> </w:t>
      </w:r>
      <w:r>
        <w:rPr>
          <w:rFonts w:ascii="Arial" w:hAnsi="Arial" w:cs="Arial"/>
          <w:sz w:val="24"/>
          <w:szCs w:val="24"/>
        </w:rPr>
        <w:t xml:space="preserve">This may limit the percentage of indirect costs that may be charged to state funds to a percentage that is less than the grantee’s approved indirect cost rate. </w:t>
      </w:r>
    </w:p>
    <w:p w:rsidR="00DF53B0" w:rsidRDefault="00DF53B0" w:rsidP="00DF53B0">
      <w:pPr>
        <w:spacing w:before="100" w:beforeAutospacing="1" w:after="100" w:afterAutospacing="1"/>
        <w:contextualSpacing/>
        <w:rPr>
          <w:rFonts w:ascii="Arial" w:eastAsia="Times New Roman" w:hAnsi="Arial" w:cs="Arial"/>
          <w:sz w:val="24"/>
          <w:szCs w:val="24"/>
        </w:rPr>
      </w:pPr>
    </w:p>
    <w:p w:rsidR="00DF53B0" w:rsidRPr="00F65D85" w:rsidRDefault="00DF53B0" w:rsidP="00DF53B0">
      <w:pPr>
        <w:spacing w:before="100" w:beforeAutospacing="1" w:after="100" w:afterAutospacing="1"/>
        <w:contextualSpacing/>
        <w:rPr>
          <w:rFonts w:ascii="Arial" w:eastAsia="Times New Roman" w:hAnsi="Arial" w:cs="Arial"/>
          <w:sz w:val="24"/>
          <w:szCs w:val="24"/>
          <w:u w:val="single"/>
        </w:rPr>
      </w:pPr>
      <w:r w:rsidRPr="00F65D85">
        <w:rPr>
          <w:rFonts w:ascii="Arial" w:eastAsia="Times New Roman" w:hAnsi="Arial" w:cs="Arial"/>
          <w:sz w:val="24"/>
          <w:szCs w:val="24"/>
        </w:rPr>
        <w:t xml:space="preserve">Indirect cost rates must be determined as a percentage of the direct costs. The indirect costs will be calculated by first determining the total reimbursable direct costs and then multiplying these costs by the approved rate. To be reimbursed by our office, </w:t>
      </w:r>
      <w:r w:rsidRPr="00F65D85">
        <w:rPr>
          <w:rFonts w:ascii="Arial" w:eastAsia="Times New Roman" w:hAnsi="Arial" w:cs="Arial"/>
          <w:sz w:val="24"/>
          <w:szCs w:val="24"/>
          <w:u w:val="single"/>
        </w:rPr>
        <w:t>the</w:t>
      </w:r>
      <w:r w:rsidRPr="00F65D85">
        <w:rPr>
          <w:rFonts w:ascii="Arial" w:eastAsia="Times New Roman" w:hAnsi="Arial" w:cs="Arial"/>
          <w:sz w:val="24"/>
          <w:szCs w:val="24"/>
        </w:rPr>
        <w:t xml:space="preserve"> </w:t>
      </w:r>
      <w:r w:rsidRPr="00F65D85">
        <w:rPr>
          <w:rFonts w:ascii="Arial" w:eastAsia="Times New Roman" w:hAnsi="Arial" w:cs="Arial"/>
          <w:sz w:val="24"/>
          <w:szCs w:val="24"/>
          <w:u w:val="single"/>
        </w:rPr>
        <w:t xml:space="preserve">allocation of indirect costs must also be documented by either payment or journal transfer. </w:t>
      </w:r>
    </w:p>
    <w:p w:rsidR="00DF53B0" w:rsidRPr="00F65D85" w:rsidRDefault="00DF53B0" w:rsidP="00DF53B0">
      <w:pPr>
        <w:pStyle w:val="ListParagraph"/>
        <w:numPr>
          <w:ilvl w:val="0"/>
          <w:numId w:val="5"/>
        </w:numPr>
        <w:rPr>
          <w:rFonts w:ascii="Arial" w:hAnsi="Arial" w:cs="Arial"/>
          <w:b/>
          <w:sz w:val="24"/>
          <w:szCs w:val="24"/>
        </w:rPr>
      </w:pPr>
      <w:r w:rsidRPr="00F65D85">
        <w:rPr>
          <w:rFonts w:ascii="Arial" w:hAnsi="Arial" w:cs="Arial"/>
          <w:b/>
          <w:sz w:val="24"/>
          <w:szCs w:val="24"/>
        </w:rPr>
        <w:t>Subcontractors/Consultants</w:t>
      </w:r>
    </w:p>
    <w:p w:rsidR="00DF53B0" w:rsidRPr="00F65D85" w:rsidRDefault="00DF53B0" w:rsidP="00DF53B0">
      <w:pPr>
        <w:contextualSpacing/>
        <w:rPr>
          <w:rFonts w:ascii="Arial" w:hAnsi="Arial" w:cs="Arial"/>
          <w:sz w:val="24"/>
          <w:szCs w:val="24"/>
        </w:rPr>
      </w:pPr>
      <w:r w:rsidRPr="00F65D85">
        <w:rPr>
          <w:rFonts w:ascii="Arial" w:hAnsi="Arial" w:cs="Arial"/>
          <w:sz w:val="24"/>
          <w:szCs w:val="24"/>
        </w:rPr>
        <w:t>Contractual or consultant services include any costs that have a formal or informal agreement or cont</w:t>
      </w:r>
      <w:r w:rsidR="00665B7A">
        <w:rPr>
          <w:rFonts w:ascii="Arial" w:hAnsi="Arial" w:cs="Arial"/>
          <w:sz w:val="24"/>
          <w:szCs w:val="24"/>
        </w:rPr>
        <w:t>r</w:t>
      </w:r>
      <w:r w:rsidRPr="00F65D85">
        <w:rPr>
          <w:rFonts w:ascii="Arial" w:hAnsi="Arial" w:cs="Arial"/>
          <w:sz w:val="24"/>
          <w:szCs w:val="24"/>
        </w:rPr>
        <w:t xml:space="preserve">act. </w:t>
      </w:r>
    </w:p>
    <w:p w:rsidR="00DF53B0" w:rsidRDefault="00DF53B0" w:rsidP="00DF53B0">
      <w:pPr>
        <w:contextualSpacing/>
        <w:rPr>
          <w:rFonts w:ascii="Arial" w:hAnsi="Arial" w:cs="Arial"/>
          <w:sz w:val="24"/>
          <w:szCs w:val="24"/>
        </w:rPr>
      </w:pPr>
    </w:p>
    <w:p w:rsidR="00DF53B0" w:rsidRDefault="00DF53B0" w:rsidP="00DF53B0">
      <w:pPr>
        <w:contextualSpacing/>
        <w:rPr>
          <w:rFonts w:ascii="Arial" w:hAnsi="Arial" w:cs="Arial"/>
          <w:sz w:val="24"/>
          <w:szCs w:val="24"/>
        </w:rPr>
      </w:pPr>
      <w:r w:rsidRPr="00F65D85">
        <w:rPr>
          <w:rFonts w:ascii="Arial" w:hAnsi="Arial" w:cs="Arial"/>
          <w:sz w:val="24"/>
          <w:szCs w:val="24"/>
        </w:rPr>
        <w:t>For each contract, include the provider, a description of the services to be provided, the rate/unit and number of units, if applicable, the amount paid to the organization and the total dollar amount.</w:t>
      </w:r>
    </w:p>
    <w:p w:rsidR="00DF53B0" w:rsidRPr="00F65D85" w:rsidRDefault="00DF53B0" w:rsidP="00DF53B0">
      <w:pPr>
        <w:contextualSpacing/>
        <w:rPr>
          <w:rFonts w:ascii="Arial" w:hAnsi="Arial" w:cs="Arial"/>
          <w:sz w:val="24"/>
          <w:szCs w:val="24"/>
        </w:rPr>
      </w:pPr>
    </w:p>
    <w:p w:rsidR="00DF53B0" w:rsidRPr="00F65D85" w:rsidRDefault="00DF53B0" w:rsidP="00DF53B0">
      <w:pPr>
        <w:contextualSpacing/>
        <w:rPr>
          <w:rFonts w:ascii="Arial" w:hAnsi="Arial" w:cs="Arial"/>
          <w:sz w:val="24"/>
          <w:szCs w:val="24"/>
        </w:rPr>
      </w:pPr>
      <w:r w:rsidRPr="00F65D85">
        <w:rPr>
          <w:rFonts w:ascii="Arial" w:hAnsi="Arial" w:cs="Arial"/>
          <w:sz w:val="24"/>
          <w:szCs w:val="24"/>
        </w:rPr>
        <w:t xml:space="preserve">For any Subcontractor or consultant paid more than $5,000, a subcontractor budget </w:t>
      </w:r>
      <w:r w:rsidRPr="00F65D85">
        <w:rPr>
          <w:rFonts w:ascii="Arial" w:hAnsi="Arial" w:cs="Arial"/>
          <w:sz w:val="24"/>
          <w:szCs w:val="24"/>
          <w:u w:val="single"/>
        </w:rPr>
        <w:t>must</w:t>
      </w:r>
      <w:r w:rsidRPr="00F65D85">
        <w:rPr>
          <w:rFonts w:ascii="Arial" w:hAnsi="Arial" w:cs="Arial"/>
          <w:sz w:val="24"/>
          <w:szCs w:val="24"/>
        </w:rPr>
        <w:t xml:space="preserve"> be completed and submitted, unless payment will be based on a unit rate.</w:t>
      </w:r>
    </w:p>
    <w:p w:rsidR="00DF53B0" w:rsidRDefault="00DF53B0" w:rsidP="00DF53B0">
      <w:pPr>
        <w:contextualSpacing/>
        <w:rPr>
          <w:rFonts w:ascii="Arial" w:hAnsi="Arial" w:cs="Arial"/>
          <w:sz w:val="24"/>
          <w:szCs w:val="24"/>
        </w:rPr>
      </w:pPr>
    </w:p>
    <w:p w:rsidR="00DF53B0" w:rsidRPr="00F65D85" w:rsidRDefault="00DF53B0" w:rsidP="00DF53B0">
      <w:pPr>
        <w:contextualSpacing/>
        <w:rPr>
          <w:rFonts w:ascii="Arial" w:hAnsi="Arial" w:cs="Arial"/>
          <w:sz w:val="24"/>
          <w:szCs w:val="24"/>
        </w:rPr>
      </w:pPr>
      <w:r w:rsidRPr="00F65D85">
        <w:rPr>
          <w:rFonts w:ascii="Arial" w:hAnsi="Arial" w:cs="Arial"/>
          <w:sz w:val="24"/>
          <w:szCs w:val="24"/>
        </w:rPr>
        <w:t>Applicants must obtain agreements and/or contracts for all consultants or contractors and must submit these prior to reimbursement. An agreement or contract should include a brief description of services to be provided, the period covered, the cost basis (hourly rate, flat rate) and be signed by both parties.</w:t>
      </w:r>
    </w:p>
    <w:p w:rsidR="00DF53B0" w:rsidRDefault="00DF53B0" w:rsidP="00DF53B0">
      <w:pPr>
        <w:contextualSpacing/>
        <w:rPr>
          <w:rFonts w:ascii="Arial" w:hAnsi="Arial" w:cs="Arial"/>
          <w:b/>
          <w:sz w:val="24"/>
          <w:szCs w:val="24"/>
        </w:rPr>
      </w:pPr>
    </w:p>
    <w:p w:rsidR="00DF53B0" w:rsidRPr="00F65D85" w:rsidRDefault="00DF53B0" w:rsidP="00DF53B0">
      <w:pPr>
        <w:contextualSpacing/>
        <w:rPr>
          <w:rFonts w:ascii="Arial" w:hAnsi="Arial" w:cs="Arial"/>
          <w:sz w:val="24"/>
          <w:szCs w:val="24"/>
        </w:rPr>
      </w:pPr>
      <w:r w:rsidRPr="00F65D85">
        <w:rPr>
          <w:rFonts w:ascii="Arial" w:hAnsi="Arial" w:cs="Arial"/>
          <w:b/>
          <w:sz w:val="24"/>
          <w:szCs w:val="24"/>
        </w:rPr>
        <w:t>Caution:</w:t>
      </w:r>
      <w:r w:rsidRPr="00F65D85">
        <w:rPr>
          <w:rFonts w:ascii="Arial" w:hAnsi="Arial" w:cs="Arial"/>
          <w:sz w:val="24"/>
          <w:szCs w:val="24"/>
        </w:rPr>
        <w:t xml:space="preserve">  Where an employer-employee relationship exists between the applicant and program personnel, such personnel should not be budgeted as consultants. The existence of an employer-employee relationship is determined by the degree of control exercised by the employer. An employer usually trains an employee, directs the employee’s work and has a continuing work relationship with the employee. An independent consultant is a self-employed individual who is not supervised by the applicant. An independent consultant decides when, where and how the work is to be performed in accordance with general descriptions provided in written agreements. </w:t>
      </w:r>
    </w:p>
    <w:p w:rsidR="00DF53B0" w:rsidRPr="00F65D85" w:rsidRDefault="00DF53B0" w:rsidP="00DF53B0">
      <w:pPr>
        <w:contextualSpacing/>
        <w:rPr>
          <w:rFonts w:ascii="Arial" w:hAnsi="Arial" w:cs="Arial"/>
          <w:sz w:val="24"/>
          <w:szCs w:val="24"/>
        </w:rPr>
      </w:pPr>
      <w:r w:rsidRPr="00F65D85">
        <w:rPr>
          <w:rFonts w:ascii="Arial" w:hAnsi="Arial" w:cs="Arial"/>
          <w:sz w:val="24"/>
          <w:szCs w:val="24"/>
          <w:u w:val="single"/>
        </w:rPr>
        <w:t>Individuals must not be classified as consultants for avoiding payment of fringe benefits</w:t>
      </w:r>
      <w:r w:rsidRPr="00F65D85">
        <w:rPr>
          <w:rFonts w:ascii="Arial" w:hAnsi="Arial" w:cs="Arial"/>
          <w:sz w:val="24"/>
          <w:szCs w:val="24"/>
        </w:rPr>
        <w:t xml:space="preserve">. If later the Internal Revenue Service or the Department of Labor determines that an </w:t>
      </w:r>
      <w:r w:rsidRPr="00F65D85">
        <w:rPr>
          <w:rFonts w:ascii="Arial" w:hAnsi="Arial" w:cs="Arial"/>
          <w:sz w:val="24"/>
          <w:szCs w:val="24"/>
        </w:rPr>
        <w:lastRenderedPageBreak/>
        <w:t>individual you hired as a consultant is an employee, your organization is solely responsible for any retroactive fringe benefit payments and/or penalties that may be assessed.</w:t>
      </w:r>
    </w:p>
    <w:p w:rsidR="00DF53B0" w:rsidRDefault="00DF53B0" w:rsidP="00DF53B0">
      <w:pPr>
        <w:contextualSpacing/>
        <w:rPr>
          <w:rFonts w:ascii="Arial" w:hAnsi="Arial" w:cs="Arial"/>
          <w:b/>
          <w:sz w:val="24"/>
          <w:szCs w:val="24"/>
        </w:rPr>
      </w:pPr>
    </w:p>
    <w:p w:rsidR="00DF53B0" w:rsidRDefault="00DF53B0" w:rsidP="00DF53B0">
      <w:pPr>
        <w:contextualSpacing/>
        <w:rPr>
          <w:rFonts w:ascii="Arial" w:hAnsi="Arial" w:cs="Arial"/>
          <w:sz w:val="24"/>
          <w:szCs w:val="24"/>
        </w:rPr>
      </w:pPr>
      <w:r w:rsidRPr="00F65D85">
        <w:rPr>
          <w:rFonts w:ascii="Arial" w:hAnsi="Arial" w:cs="Arial"/>
          <w:b/>
          <w:sz w:val="24"/>
          <w:szCs w:val="24"/>
        </w:rPr>
        <w:t>In-kind match</w:t>
      </w:r>
      <w:r w:rsidRPr="00F65D85">
        <w:rPr>
          <w:rFonts w:ascii="Arial" w:hAnsi="Arial" w:cs="Arial"/>
          <w:sz w:val="24"/>
          <w:szCs w:val="24"/>
        </w:rPr>
        <w:t xml:space="preserve"> consists of services that are donated to the grantee agency by a third party. </w:t>
      </w:r>
      <w:r>
        <w:rPr>
          <w:rFonts w:ascii="Arial" w:hAnsi="Arial" w:cs="Arial"/>
          <w:sz w:val="24"/>
          <w:szCs w:val="24"/>
        </w:rPr>
        <w:t>I</w:t>
      </w:r>
      <w:r w:rsidRPr="00F65D85">
        <w:rPr>
          <w:rFonts w:ascii="Arial" w:hAnsi="Arial" w:cs="Arial"/>
          <w:sz w:val="24"/>
          <w:szCs w:val="24"/>
        </w:rPr>
        <w:t xml:space="preserve">n-kind match must not only be reflected </w:t>
      </w:r>
      <w:r>
        <w:rPr>
          <w:rFonts w:ascii="Arial" w:hAnsi="Arial" w:cs="Arial"/>
          <w:sz w:val="24"/>
          <w:szCs w:val="24"/>
        </w:rPr>
        <w:t>in the Subcontractors/Consultants category</w:t>
      </w:r>
      <w:r w:rsidRPr="00F65D85">
        <w:rPr>
          <w:rFonts w:ascii="Arial" w:hAnsi="Arial" w:cs="Arial"/>
          <w:sz w:val="24"/>
          <w:szCs w:val="24"/>
        </w:rPr>
        <w:t>, but also in the Matching Funds section of the budget. Only services are allowed as in-kind match.</w:t>
      </w:r>
      <w:r>
        <w:rPr>
          <w:rFonts w:ascii="Arial" w:hAnsi="Arial" w:cs="Arial"/>
          <w:sz w:val="24"/>
          <w:szCs w:val="24"/>
        </w:rPr>
        <w:t xml:space="preserve"> </w:t>
      </w:r>
    </w:p>
    <w:p w:rsidR="00DF53B0" w:rsidRPr="00F65D85" w:rsidRDefault="00DF53B0" w:rsidP="00DF53B0">
      <w:pPr>
        <w:contextualSpacing/>
        <w:rPr>
          <w:rFonts w:ascii="Arial" w:hAnsi="Arial" w:cs="Arial"/>
          <w:sz w:val="24"/>
          <w:szCs w:val="24"/>
        </w:rPr>
      </w:pPr>
    </w:p>
    <w:p w:rsidR="00DF53B0" w:rsidRPr="00F65D85" w:rsidRDefault="00DF53B0" w:rsidP="00DF53B0">
      <w:pPr>
        <w:contextualSpacing/>
        <w:rPr>
          <w:rFonts w:ascii="Arial" w:hAnsi="Arial" w:cs="Arial"/>
          <w:sz w:val="24"/>
          <w:szCs w:val="24"/>
        </w:rPr>
      </w:pPr>
      <w:r w:rsidRPr="00F65D85">
        <w:rPr>
          <w:rFonts w:ascii="Arial" w:hAnsi="Arial" w:cs="Arial"/>
          <w:sz w:val="24"/>
          <w:szCs w:val="24"/>
        </w:rPr>
        <w:t xml:space="preserve">For each business or individual contributing services, include the provider, a description of the services to be provided, the rate/unit and number of units, the amount paid to the organization, if any, the amount used as match and the total dollar amount. </w:t>
      </w:r>
    </w:p>
    <w:p w:rsidR="00DF53B0" w:rsidRPr="00F65D85" w:rsidRDefault="00DF53B0" w:rsidP="00DF53B0">
      <w:pPr>
        <w:contextualSpacing/>
        <w:rPr>
          <w:rFonts w:ascii="Arial" w:hAnsi="Arial" w:cs="Arial"/>
          <w:sz w:val="24"/>
          <w:szCs w:val="24"/>
        </w:rPr>
      </w:pPr>
      <w:r w:rsidRPr="00F65D85">
        <w:rPr>
          <w:rFonts w:ascii="Arial" w:hAnsi="Arial" w:cs="Arial"/>
          <w:sz w:val="24"/>
          <w:szCs w:val="24"/>
        </w:rPr>
        <w:t xml:space="preserve">The value of unpaid services provided by volunteers may be used to meet, but cannot exceed, the community match required (50% of the total 25% matching funds requirement). The services provided must be necessary to meet program objectives. The hourly rate for these services must be consistent with those </w:t>
      </w:r>
      <w:r w:rsidRPr="00F65D85">
        <w:rPr>
          <w:rFonts w:ascii="Arial" w:hAnsi="Arial" w:cs="Arial"/>
          <w:sz w:val="24"/>
          <w:szCs w:val="24"/>
          <w:u w:val="single"/>
        </w:rPr>
        <w:t>paid</w:t>
      </w:r>
      <w:r w:rsidRPr="00F65D85">
        <w:rPr>
          <w:rFonts w:ascii="Arial" w:hAnsi="Arial" w:cs="Arial"/>
          <w:sz w:val="24"/>
          <w:szCs w:val="24"/>
        </w:rPr>
        <w:t xml:space="preserve"> for similar services. Documentation for the hourly rate determination for any volunteers may be requested by NYSOFA. </w:t>
      </w:r>
      <w:r w:rsidRPr="00F65D85">
        <w:rPr>
          <w:rFonts w:ascii="Arial" w:hAnsi="Arial" w:cs="Arial"/>
          <w:sz w:val="24"/>
          <w:szCs w:val="24"/>
          <w:u w:val="single"/>
        </w:rPr>
        <w:t>See</w:t>
      </w:r>
      <w:r w:rsidRPr="00F65D85">
        <w:rPr>
          <w:rFonts w:ascii="Arial" w:hAnsi="Arial" w:cs="Arial"/>
          <w:sz w:val="24"/>
          <w:szCs w:val="24"/>
        </w:rPr>
        <w:t>: the NORC Policy for Matching Funds Requirements.</w:t>
      </w:r>
    </w:p>
    <w:p w:rsidR="00DF53B0" w:rsidRPr="00F65D85" w:rsidRDefault="00DF53B0" w:rsidP="00DF53B0">
      <w:pPr>
        <w:pStyle w:val="ListParagraph"/>
        <w:numPr>
          <w:ilvl w:val="0"/>
          <w:numId w:val="5"/>
        </w:numPr>
        <w:rPr>
          <w:rFonts w:ascii="Arial" w:hAnsi="Arial" w:cs="Arial"/>
          <w:b/>
          <w:sz w:val="24"/>
          <w:szCs w:val="24"/>
        </w:rPr>
      </w:pPr>
      <w:r w:rsidRPr="00F65D85">
        <w:rPr>
          <w:rFonts w:ascii="Arial" w:hAnsi="Arial" w:cs="Arial"/>
          <w:b/>
          <w:sz w:val="24"/>
          <w:szCs w:val="24"/>
        </w:rPr>
        <w:t>Total Budget</w:t>
      </w:r>
    </w:p>
    <w:p w:rsidR="00DF53B0" w:rsidRDefault="00DF53B0" w:rsidP="00E422B8">
      <w:pPr>
        <w:contextualSpacing/>
        <w:rPr>
          <w:rFonts w:ascii="Arial" w:hAnsi="Arial" w:cs="Arial"/>
          <w:sz w:val="24"/>
          <w:szCs w:val="24"/>
        </w:rPr>
      </w:pPr>
      <w:r w:rsidRPr="00F65D85">
        <w:rPr>
          <w:rFonts w:ascii="Arial" w:hAnsi="Arial" w:cs="Arial"/>
          <w:sz w:val="24"/>
          <w:szCs w:val="24"/>
        </w:rPr>
        <w:t>This is the sum of all the budget categories (sections 1 – 7).</w:t>
      </w:r>
    </w:p>
    <w:p w:rsidR="00DF53B0" w:rsidRPr="00F65D85" w:rsidRDefault="00DF53B0" w:rsidP="00E422B8">
      <w:pPr>
        <w:pStyle w:val="ListParagraph"/>
        <w:numPr>
          <w:ilvl w:val="0"/>
          <w:numId w:val="5"/>
        </w:numPr>
        <w:rPr>
          <w:rFonts w:ascii="Arial" w:hAnsi="Arial" w:cs="Arial"/>
          <w:b/>
          <w:sz w:val="24"/>
          <w:szCs w:val="24"/>
        </w:rPr>
      </w:pPr>
      <w:r>
        <w:rPr>
          <w:rFonts w:ascii="Arial" w:hAnsi="Arial" w:cs="Arial"/>
          <w:b/>
          <w:sz w:val="24"/>
          <w:szCs w:val="24"/>
        </w:rPr>
        <w:t xml:space="preserve"> </w:t>
      </w:r>
      <w:r w:rsidRPr="00F65D85">
        <w:rPr>
          <w:rFonts w:ascii="Arial" w:hAnsi="Arial" w:cs="Arial"/>
          <w:b/>
          <w:sz w:val="24"/>
          <w:szCs w:val="24"/>
        </w:rPr>
        <w:t>Program Income</w:t>
      </w:r>
    </w:p>
    <w:p w:rsidR="00DF53B0" w:rsidRDefault="00DF53B0" w:rsidP="00E422B8">
      <w:pPr>
        <w:contextualSpacing/>
        <w:rPr>
          <w:rFonts w:ascii="Arial" w:hAnsi="Arial" w:cs="Arial"/>
          <w:sz w:val="24"/>
          <w:szCs w:val="24"/>
        </w:rPr>
      </w:pPr>
      <w:r w:rsidRPr="00F65D85">
        <w:rPr>
          <w:rFonts w:ascii="Arial" w:hAnsi="Arial" w:cs="Arial"/>
          <w:sz w:val="24"/>
          <w:szCs w:val="24"/>
        </w:rPr>
        <w:t>List the total amounts anticipated for participant contributions, participant fees and other income and total.</w:t>
      </w:r>
      <w:r>
        <w:rPr>
          <w:rFonts w:ascii="Arial" w:hAnsi="Arial" w:cs="Arial"/>
          <w:sz w:val="24"/>
          <w:szCs w:val="24"/>
        </w:rPr>
        <w:t xml:space="preserve"> Total these amounts to calculate the total program income and list the amount of the total program income that will be used as matching funds.    </w:t>
      </w:r>
    </w:p>
    <w:p w:rsidR="00DF53B0" w:rsidRPr="00F65D85" w:rsidRDefault="00DF53B0" w:rsidP="00DF53B0">
      <w:pPr>
        <w:pStyle w:val="ListParagraph"/>
        <w:numPr>
          <w:ilvl w:val="0"/>
          <w:numId w:val="5"/>
        </w:numPr>
        <w:rPr>
          <w:rFonts w:ascii="Arial" w:hAnsi="Arial" w:cs="Arial"/>
          <w:b/>
          <w:sz w:val="24"/>
          <w:szCs w:val="24"/>
        </w:rPr>
      </w:pPr>
      <w:r w:rsidRPr="00F65D85">
        <w:rPr>
          <w:rFonts w:ascii="Arial" w:hAnsi="Arial" w:cs="Arial"/>
          <w:b/>
          <w:sz w:val="24"/>
          <w:szCs w:val="24"/>
        </w:rPr>
        <w:t xml:space="preserve">  Net Budget </w:t>
      </w:r>
    </w:p>
    <w:p w:rsidR="00DF53B0" w:rsidRPr="00F65D85" w:rsidRDefault="00DF53B0" w:rsidP="00DF53B0">
      <w:pPr>
        <w:contextualSpacing/>
        <w:rPr>
          <w:rFonts w:ascii="Arial" w:hAnsi="Arial" w:cs="Arial"/>
          <w:sz w:val="24"/>
          <w:szCs w:val="24"/>
        </w:rPr>
      </w:pPr>
      <w:r w:rsidRPr="00F65D85">
        <w:rPr>
          <w:rFonts w:ascii="Arial" w:hAnsi="Arial" w:cs="Arial"/>
          <w:sz w:val="24"/>
          <w:szCs w:val="24"/>
        </w:rPr>
        <w:t>This is the total budget expenditures less any program income not used as match.</w:t>
      </w:r>
    </w:p>
    <w:p w:rsidR="00DF53B0" w:rsidRPr="00F65D85" w:rsidRDefault="00DF53B0" w:rsidP="00DF53B0">
      <w:pPr>
        <w:pStyle w:val="ListParagraph"/>
        <w:numPr>
          <w:ilvl w:val="0"/>
          <w:numId w:val="5"/>
        </w:numPr>
        <w:rPr>
          <w:rFonts w:ascii="Arial" w:hAnsi="Arial" w:cs="Arial"/>
          <w:b/>
          <w:sz w:val="24"/>
          <w:szCs w:val="24"/>
        </w:rPr>
      </w:pPr>
      <w:r w:rsidRPr="00F65D85">
        <w:rPr>
          <w:rFonts w:ascii="Arial" w:hAnsi="Arial" w:cs="Arial"/>
          <w:b/>
          <w:sz w:val="24"/>
          <w:szCs w:val="24"/>
        </w:rPr>
        <w:t xml:space="preserve">  Matching Funds </w:t>
      </w:r>
    </w:p>
    <w:p w:rsidR="00DF53B0" w:rsidRDefault="00DF53B0" w:rsidP="00DF53B0">
      <w:pPr>
        <w:contextualSpacing/>
        <w:rPr>
          <w:rFonts w:ascii="Arial" w:hAnsi="Arial" w:cs="Arial"/>
          <w:sz w:val="24"/>
          <w:szCs w:val="24"/>
        </w:rPr>
      </w:pPr>
      <w:r w:rsidRPr="00F65D85">
        <w:rPr>
          <w:rFonts w:ascii="Arial" w:hAnsi="Arial" w:cs="Arial"/>
          <w:sz w:val="24"/>
          <w:szCs w:val="24"/>
        </w:rPr>
        <w:t xml:space="preserve">The match requirement is 25% of state funds received.  In addition, at least fifty percent (50%) of the total matching funds must be community match: contributions by the housing development governing body or other owners or managers and residents of the apartment buildings and housing complexes for </w:t>
      </w:r>
      <w:r>
        <w:rPr>
          <w:rFonts w:ascii="Arial" w:hAnsi="Arial" w:cs="Arial"/>
          <w:sz w:val="24"/>
          <w:szCs w:val="24"/>
        </w:rPr>
        <w:t>C</w:t>
      </w:r>
      <w:r w:rsidRPr="00F65D85">
        <w:rPr>
          <w:rFonts w:ascii="Arial" w:hAnsi="Arial" w:cs="Arial"/>
          <w:sz w:val="24"/>
          <w:szCs w:val="24"/>
        </w:rPr>
        <w:t xml:space="preserve">lassic NORC programs, or the geographical area in which the project is proposed for Neighborhood NORC programs.  </w:t>
      </w:r>
    </w:p>
    <w:p w:rsidR="00DF53B0" w:rsidRDefault="00DF53B0" w:rsidP="00DF53B0">
      <w:pPr>
        <w:contextualSpacing/>
        <w:rPr>
          <w:rFonts w:ascii="Arial" w:hAnsi="Arial" w:cs="Arial"/>
          <w:sz w:val="24"/>
          <w:szCs w:val="24"/>
        </w:rPr>
      </w:pPr>
    </w:p>
    <w:p w:rsidR="00DF53B0" w:rsidRDefault="00DF53B0" w:rsidP="00DF53B0">
      <w:pPr>
        <w:contextualSpacing/>
        <w:rPr>
          <w:rFonts w:ascii="Arial" w:hAnsi="Arial" w:cs="Arial"/>
          <w:sz w:val="24"/>
          <w:szCs w:val="24"/>
        </w:rPr>
      </w:pPr>
      <w:r w:rsidRPr="00F65D85">
        <w:rPr>
          <w:rFonts w:ascii="Arial" w:hAnsi="Arial" w:cs="Arial"/>
          <w:sz w:val="24"/>
          <w:szCs w:val="24"/>
        </w:rPr>
        <w:t xml:space="preserve">List the sources of matching funds and the amount from each source. You must submit a Memorandum of Understanding for each source of matching funds </w:t>
      </w:r>
      <w:proofErr w:type="gramStart"/>
      <w:r w:rsidRPr="00F65D85">
        <w:rPr>
          <w:rFonts w:ascii="Arial" w:hAnsi="Arial" w:cs="Arial"/>
          <w:sz w:val="24"/>
          <w:szCs w:val="24"/>
        </w:rPr>
        <w:t>in excess of</w:t>
      </w:r>
      <w:proofErr w:type="gramEnd"/>
      <w:r w:rsidRPr="00F65D85">
        <w:rPr>
          <w:rFonts w:ascii="Arial" w:hAnsi="Arial" w:cs="Arial"/>
          <w:sz w:val="24"/>
          <w:szCs w:val="24"/>
        </w:rPr>
        <w:t xml:space="preserve"> $1,000, unless you submit a subcontractor/consultant agreement reflecting the pledge of matching funds from that source.  </w:t>
      </w:r>
    </w:p>
    <w:p w:rsidR="00DF53B0" w:rsidRPr="00F65D85" w:rsidRDefault="00DF53B0" w:rsidP="00DF53B0">
      <w:pPr>
        <w:contextualSpacing/>
        <w:rPr>
          <w:rFonts w:ascii="Arial" w:hAnsi="Arial" w:cs="Arial"/>
          <w:sz w:val="24"/>
          <w:szCs w:val="24"/>
          <w:u w:val="single"/>
        </w:rPr>
      </w:pPr>
      <w:r w:rsidRPr="00F65D85">
        <w:rPr>
          <w:rFonts w:ascii="Arial" w:hAnsi="Arial" w:cs="Arial"/>
          <w:sz w:val="24"/>
          <w:szCs w:val="24"/>
        </w:rPr>
        <w:lastRenderedPageBreak/>
        <w:t xml:space="preserve">Programs may request that NYSOFA waive part of the 50% community matching funds required; </w:t>
      </w:r>
      <w:r w:rsidRPr="00F65D85">
        <w:rPr>
          <w:rFonts w:ascii="Arial" w:hAnsi="Arial" w:cs="Arial"/>
          <w:sz w:val="24"/>
          <w:szCs w:val="24"/>
          <w:u w:val="single"/>
        </w:rPr>
        <w:t xml:space="preserve">however, the total matching funds requirement must still be met from other allowable sources. </w:t>
      </w:r>
    </w:p>
    <w:p w:rsidR="00DF53B0" w:rsidRDefault="00DF53B0" w:rsidP="00DF53B0">
      <w:pPr>
        <w:contextualSpacing/>
        <w:rPr>
          <w:rFonts w:ascii="Arial" w:hAnsi="Arial" w:cs="Arial"/>
          <w:sz w:val="24"/>
          <w:szCs w:val="24"/>
        </w:rPr>
      </w:pPr>
    </w:p>
    <w:p w:rsidR="00DF53B0" w:rsidRPr="00F65D85" w:rsidRDefault="00DF53B0" w:rsidP="00DF53B0">
      <w:pPr>
        <w:contextualSpacing/>
        <w:rPr>
          <w:rFonts w:ascii="Arial" w:hAnsi="Arial" w:cs="Arial"/>
          <w:sz w:val="24"/>
          <w:szCs w:val="24"/>
        </w:rPr>
      </w:pPr>
      <w:r w:rsidRPr="00F65D85">
        <w:rPr>
          <w:rFonts w:ascii="Arial" w:hAnsi="Arial" w:cs="Arial"/>
          <w:sz w:val="24"/>
          <w:szCs w:val="24"/>
        </w:rPr>
        <w:t>NOTE: All required match needs to be reflected in this section. The following amounts, if any, must be carried over from previous sections:</w:t>
      </w:r>
    </w:p>
    <w:p w:rsidR="00DF53B0" w:rsidRPr="00F65D85" w:rsidRDefault="00DF53B0" w:rsidP="00DF53B0">
      <w:pPr>
        <w:pStyle w:val="NoSpacing"/>
        <w:numPr>
          <w:ilvl w:val="0"/>
          <w:numId w:val="7"/>
        </w:numPr>
        <w:spacing w:line="259" w:lineRule="auto"/>
        <w:contextualSpacing/>
        <w:rPr>
          <w:rFonts w:ascii="Arial" w:hAnsi="Arial" w:cs="Arial"/>
          <w:b/>
          <w:sz w:val="24"/>
          <w:szCs w:val="24"/>
        </w:rPr>
      </w:pPr>
      <w:r w:rsidRPr="00F65D85">
        <w:rPr>
          <w:rFonts w:ascii="Arial" w:hAnsi="Arial" w:cs="Arial"/>
          <w:b/>
          <w:sz w:val="24"/>
          <w:szCs w:val="24"/>
        </w:rPr>
        <w:t xml:space="preserve">Subcontractors/Consultants – </w:t>
      </w:r>
      <w:r w:rsidRPr="00F65D85">
        <w:rPr>
          <w:rFonts w:ascii="Arial" w:hAnsi="Arial" w:cs="Arial"/>
          <w:sz w:val="24"/>
          <w:szCs w:val="24"/>
        </w:rPr>
        <w:t>Subcontractors/Consultants providing in-kind</w:t>
      </w:r>
    </w:p>
    <w:p w:rsidR="00DF53B0" w:rsidRDefault="00DF53B0" w:rsidP="00E422B8">
      <w:pPr>
        <w:pStyle w:val="NoSpacing"/>
        <w:numPr>
          <w:ilvl w:val="0"/>
          <w:numId w:val="7"/>
        </w:numPr>
        <w:spacing w:after="160" w:line="259" w:lineRule="auto"/>
        <w:contextualSpacing/>
        <w:rPr>
          <w:rFonts w:ascii="Arial" w:hAnsi="Arial" w:cs="Arial"/>
          <w:sz w:val="24"/>
          <w:szCs w:val="24"/>
        </w:rPr>
      </w:pPr>
      <w:r w:rsidRPr="00F65D85">
        <w:rPr>
          <w:rFonts w:ascii="Arial" w:hAnsi="Arial" w:cs="Arial"/>
          <w:b/>
          <w:sz w:val="24"/>
          <w:szCs w:val="24"/>
        </w:rPr>
        <w:t xml:space="preserve">Program Income – </w:t>
      </w:r>
      <w:r w:rsidRPr="00F65D85">
        <w:rPr>
          <w:rFonts w:ascii="Arial" w:hAnsi="Arial" w:cs="Arial"/>
          <w:sz w:val="24"/>
          <w:szCs w:val="24"/>
        </w:rPr>
        <w:t>Program income used as match</w:t>
      </w:r>
    </w:p>
    <w:p w:rsidR="00DF53B0" w:rsidRPr="00F65D85" w:rsidRDefault="00DF53B0" w:rsidP="00E422B8">
      <w:pPr>
        <w:pStyle w:val="ListParagraph"/>
        <w:numPr>
          <w:ilvl w:val="0"/>
          <w:numId w:val="5"/>
        </w:numPr>
        <w:rPr>
          <w:rFonts w:ascii="Arial" w:hAnsi="Arial" w:cs="Arial"/>
          <w:b/>
          <w:sz w:val="24"/>
          <w:szCs w:val="24"/>
        </w:rPr>
      </w:pPr>
      <w:r w:rsidRPr="00F65D85">
        <w:rPr>
          <w:rFonts w:ascii="Arial" w:hAnsi="Arial" w:cs="Arial"/>
          <w:b/>
          <w:sz w:val="24"/>
          <w:szCs w:val="24"/>
        </w:rPr>
        <w:t xml:space="preserve"> State Funds Requested</w:t>
      </w:r>
    </w:p>
    <w:p w:rsidR="00DF53B0" w:rsidRPr="00F65D85" w:rsidRDefault="00DF53B0" w:rsidP="00E422B8">
      <w:pPr>
        <w:contextualSpacing/>
        <w:rPr>
          <w:rFonts w:ascii="Arial" w:hAnsi="Arial" w:cs="Arial"/>
          <w:b/>
          <w:sz w:val="24"/>
          <w:szCs w:val="24"/>
        </w:rPr>
      </w:pPr>
      <w:r w:rsidRPr="00F65D85">
        <w:rPr>
          <w:rFonts w:ascii="Arial" w:hAnsi="Arial" w:cs="Arial"/>
          <w:sz w:val="24"/>
          <w:szCs w:val="24"/>
        </w:rPr>
        <w:t>This is the total budget expenditures less program income not used as match and less matching funds.</w:t>
      </w:r>
    </w:p>
    <w:p w:rsidR="00DF53B0" w:rsidRDefault="00DF53B0" w:rsidP="00DF53B0">
      <w:pPr>
        <w:contextualSpacing/>
        <w:rPr>
          <w:rFonts w:ascii="Arial" w:hAnsi="Arial" w:cs="Arial"/>
          <w:b/>
          <w:sz w:val="24"/>
          <w:szCs w:val="24"/>
        </w:rPr>
      </w:pPr>
    </w:p>
    <w:p w:rsidR="00DF53B0" w:rsidRDefault="00DF53B0" w:rsidP="00DF53B0">
      <w:pPr>
        <w:contextualSpacing/>
        <w:jc w:val="center"/>
        <w:rPr>
          <w:rFonts w:ascii="Arial" w:hAnsi="Arial" w:cs="Arial"/>
          <w:b/>
          <w:sz w:val="24"/>
          <w:szCs w:val="24"/>
        </w:rPr>
      </w:pPr>
    </w:p>
    <w:p w:rsidR="00DF53B0" w:rsidRDefault="00DF53B0" w:rsidP="00DF53B0">
      <w:pPr>
        <w:contextualSpacing/>
        <w:jc w:val="center"/>
        <w:rPr>
          <w:rFonts w:ascii="Arial" w:hAnsi="Arial" w:cs="Arial"/>
          <w:b/>
          <w:sz w:val="24"/>
          <w:szCs w:val="24"/>
        </w:rPr>
      </w:pPr>
    </w:p>
    <w:p w:rsidR="00DF53B0" w:rsidRDefault="00DF53B0" w:rsidP="00DF53B0">
      <w:pPr>
        <w:contextualSpacing/>
        <w:jc w:val="center"/>
        <w:rPr>
          <w:rFonts w:ascii="Arial" w:hAnsi="Arial" w:cs="Arial"/>
          <w:b/>
          <w:sz w:val="24"/>
          <w:szCs w:val="24"/>
        </w:rPr>
      </w:pPr>
    </w:p>
    <w:p w:rsidR="00DF53B0" w:rsidRDefault="00DF53B0" w:rsidP="00DF53B0">
      <w:pPr>
        <w:contextualSpacing/>
        <w:jc w:val="center"/>
        <w:rPr>
          <w:rFonts w:ascii="Arial" w:hAnsi="Arial" w:cs="Arial"/>
          <w:b/>
          <w:sz w:val="24"/>
          <w:szCs w:val="24"/>
        </w:rPr>
      </w:pPr>
    </w:p>
    <w:p w:rsidR="00DF53B0" w:rsidRDefault="00DF53B0" w:rsidP="00DF53B0">
      <w:pPr>
        <w:contextualSpacing/>
        <w:jc w:val="center"/>
        <w:rPr>
          <w:rFonts w:ascii="Arial" w:hAnsi="Arial" w:cs="Arial"/>
          <w:b/>
          <w:sz w:val="24"/>
          <w:szCs w:val="24"/>
        </w:rPr>
      </w:pPr>
    </w:p>
    <w:p w:rsidR="00DF53B0" w:rsidRDefault="00DF53B0" w:rsidP="00DF53B0">
      <w:pPr>
        <w:contextualSpacing/>
        <w:jc w:val="center"/>
        <w:rPr>
          <w:rFonts w:ascii="Arial" w:hAnsi="Arial" w:cs="Arial"/>
          <w:b/>
          <w:sz w:val="24"/>
          <w:szCs w:val="24"/>
        </w:rPr>
      </w:pPr>
    </w:p>
    <w:p w:rsidR="00AC0ABF" w:rsidRDefault="00AC0ABF"/>
    <w:sectPr w:rsidR="00AC0A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2183"/>
    <w:multiLevelType w:val="hybridMultilevel"/>
    <w:tmpl w:val="AA945B5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74750"/>
    <w:multiLevelType w:val="hybridMultilevel"/>
    <w:tmpl w:val="290C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5C46AD"/>
    <w:multiLevelType w:val="hybridMultilevel"/>
    <w:tmpl w:val="22267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E3160"/>
    <w:multiLevelType w:val="hybridMultilevel"/>
    <w:tmpl w:val="CFB4B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B828B9"/>
    <w:multiLevelType w:val="hybridMultilevel"/>
    <w:tmpl w:val="43163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DD17C0"/>
    <w:multiLevelType w:val="hybridMultilevel"/>
    <w:tmpl w:val="C554C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051564"/>
    <w:multiLevelType w:val="hybridMultilevel"/>
    <w:tmpl w:val="AB94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3B0"/>
    <w:rsid w:val="00094447"/>
    <w:rsid w:val="00215909"/>
    <w:rsid w:val="0057225F"/>
    <w:rsid w:val="005965D4"/>
    <w:rsid w:val="00665B7A"/>
    <w:rsid w:val="008A5B60"/>
    <w:rsid w:val="0094041C"/>
    <w:rsid w:val="009D5346"/>
    <w:rsid w:val="00AC0ABF"/>
    <w:rsid w:val="00C80FDA"/>
    <w:rsid w:val="00DF53B0"/>
    <w:rsid w:val="00E422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99CAA9-CCFD-4380-A2B8-4400ABC6B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3B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53B0"/>
    <w:pPr>
      <w:ind w:left="720"/>
      <w:contextualSpacing/>
    </w:pPr>
  </w:style>
  <w:style w:type="character" w:styleId="Hyperlink">
    <w:name w:val="Hyperlink"/>
    <w:basedOn w:val="DefaultParagraphFont"/>
    <w:uiPriority w:val="99"/>
    <w:unhideWhenUsed/>
    <w:rsid w:val="00DF53B0"/>
    <w:rPr>
      <w:color w:val="0563C1" w:themeColor="hyperlink"/>
      <w:u w:val="single"/>
    </w:rPr>
  </w:style>
  <w:style w:type="character" w:customStyle="1" w:styleId="ListParagraphChar">
    <w:name w:val="List Paragraph Char"/>
    <w:link w:val="ListParagraph"/>
    <w:uiPriority w:val="34"/>
    <w:rsid w:val="00DF53B0"/>
    <w:rPr>
      <w:rFonts w:eastAsiaTheme="minorEastAsia"/>
    </w:rPr>
  </w:style>
  <w:style w:type="paragraph" w:styleId="NoSpacing">
    <w:name w:val="No Spacing"/>
    <w:uiPriority w:val="1"/>
    <w:qFormat/>
    <w:rsid w:val="00DF53B0"/>
    <w:pPr>
      <w:spacing w:after="0" w:line="240" w:lineRule="auto"/>
    </w:pPr>
    <w:rPr>
      <w:rFonts w:eastAsiaTheme="minorEastAsia"/>
    </w:rPr>
  </w:style>
  <w:style w:type="character" w:styleId="FollowedHyperlink">
    <w:name w:val="FollowedHyperlink"/>
    <w:basedOn w:val="DefaultParagraphFont"/>
    <w:uiPriority w:val="99"/>
    <w:semiHidden/>
    <w:unhideWhenUsed/>
    <w:rsid w:val="0021590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54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govt.westlaw.com/nycrr/Document/I9a965162f37211e2b8fb0000845b8d3e?viewType=FullText&amp;originationContext=documenttoc&amp;transitionType=CategoryPageItem&amp;contextData=(sc.Defau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2906</Words>
  <Characters>16566</Characters>
  <Application>Microsoft Office Word</Application>
  <DocSecurity>4</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DiCarlo, Donna (AGING)</dc:creator>
  <cp:keywords/>
  <dc:description/>
  <cp:lastModifiedBy>Kuchis, Susan (AGING)</cp:lastModifiedBy>
  <cp:revision>2</cp:revision>
  <dcterms:created xsi:type="dcterms:W3CDTF">2019-04-23T18:53:00Z</dcterms:created>
  <dcterms:modified xsi:type="dcterms:W3CDTF">2019-04-23T18:53:00Z</dcterms:modified>
</cp:coreProperties>
</file>